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5"/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35"/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3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5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на выполнение работ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35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35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35"/>
        <w:jc w:val="center"/>
        <w:keepLines/>
        <w:keepNext/>
        <w:rPr>
          <w:rFonts w:eastAsia="Calibri"/>
          <w:b w:val="0"/>
          <w:bCs w:val="0"/>
          <w:i w:val="0"/>
          <w:sz w:val="28"/>
          <w:szCs w:val="28"/>
        </w:rPr>
      </w:pPr>
      <w:r>
        <w:rPr>
          <w:rFonts w:eastAsia="Calibri"/>
          <w:b w:val="0"/>
          <w:bCs w:val="0"/>
          <w:i w:val="0"/>
          <w:iCs w:val="0"/>
          <w:sz w:val="28"/>
          <w:szCs w:val="28"/>
        </w:rPr>
        <w:t xml:space="preserve">ОКПД2 33.14.19.000 Выполнение работ по среднему ремонту </w:t>
      </w:r>
      <w:r>
        <w:rPr>
          <w:rFonts w:eastAsia="Calibri"/>
          <w:b w:val="0"/>
          <w:bCs w:val="0"/>
          <w:i w:val="0"/>
          <w:sz w:val="28"/>
          <w:szCs w:val="28"/>
        </w:rPr>
      </w:r>
      <w:r>
        <w:rPr>
          <w:rFonts w:eastAsia="Calibri"/>
          <w:b w:val="0"/>
          <w:bCs w:val="0"/>
          <w:i w:val="0"/>
          <w:sz w:val="28"/>
          <w:szCs w:val="28"/>
        </w:rPr>
      </w:r>
    </w:p>
    <w:p>
      <w:pPr>
        <w:jc w:val="center"/>
        <w:keepLines/>
        <w:keepNext/>
        <w:rPr>
          <w:rFonts w:eastAsia="Calibri"/>
          <w:b w:val="0"/>
          <w:bCs w:val="0"/>
          <w:i w:val="0"/>
          <w:sz w:val="28"/>
          <w:szCs w:val="28"/>
        </w:rPr>
      </w:pPr>
      <w:r>
        <w:rPr>
          <w:rFonts w:eastAsia="Calibri"/>
          <w:b w:val="0"/>
          <w:bCs w:val="0"/>
          <w:i w:val="0"/>
          <w:iCs w:val="0"/>
          <w:sz w:val="28"/>
          <w:szCs w:val="28"/>
        </w:rPr>
        <w:t xml:space="preserve">турбогенератора №1  Благовещенской ТЭЦ г. Благовещенск.</w:t>
      </w:r>
      <w:r>
        <w:rPr>
          <w:rFonts w:eastAsia="Calibri"/>
          <w:b w:val="0"/>
          <w:bCs w:val="0"/>
          <w:i w:val="0"/>
          <w:sz w:val="28"/>
          <w:szCs w:val="28"/>
        </w:rPr>
      </w:r>
      <w:r>
        <w:rPr>
          <w:rFonts w:eastAsia="Calibri"/>
          <w:b w:val="0"/>
          <w:bCs w:val="0"/>
          <w:i w:val="0"/>
          <w:sz w:val="28"/>
          <w:szCs w:val="28"/>
        </w:rPr>
      </w:r>
    </w:p>
    <w:p>
      <w:pPr>
        <w:pStyle w:val="835"/>
        <w:keepLines/>
        <w:keepNext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pStyle w:val="835"/>
        <w:keepLines/>
        <w:keepNext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sz w:val="24"/>
          <w:szCs w:val="24"/>
        </w:rPr>
        <w:t xml:space="preserve">                                           </w:t>
      </w:r>
      <w:r>
        <w:rPr>
          <w:rFonts w:eastAsia="Calibri"/>
          <w:b/>
          <w:sz w:val="28"/>
          <w:szCs w:val="28"/>
        </w:rPr>
        <w:t xml:space="preserve">ЛОТ № 11035002-РЕМ ПРОД-2026-ДГК</w:t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pStyle w:val="83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5"/>
        <w:keepLines/>
        <w:keepNext/>
        <w:rPr>
          <w:rFonts w:eastAsia="Calibri"/>
          <w:b/>
          <w:bCs/>
          <w:i/>
          <w:sz w:val="26"/>
          <w:szCs w:val="26"/>
        </w:rPr>
      </w:pPr>
      <w:r>
        <w:rPr>
          <w:rFonts w:eastAsia="Calibri"/>
          <w:b/>
          <w:bCs/>
          <w:i/>
          <w:sz w:val="26"/>
          <w:szCs w:val="26"/>
        </w:rPr>
      </w:r>
      <w:r>
        <w:rPr>
          <w:rFonts w:eastAsia="Calibri"/>
          <w:b/>
          <w:bCs/>
          <w:i/>
          <w:sz w:val="26"/>
          <w:szCs w:val="26"/>
        </w:rPr>
      </w:r>
      <w:r>
        <w:rPr>
          <w:rFonts w:eastAsia="Calibri"/>
          <w:b/>
          <w:bCs/>
          <w:i/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5"/>
        <w:keepLines/>
        <w:keepNext/>
        <w:spacing w:before="0"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35"/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sdt>
      <w:sdtPr>
        <w15:appearance w15:val="boundingBox"/>
        <w:docPartObj>
          <w:docPartGallery w:val="Table of Contents"/>
          <w:docPartUnique w:val="true"/>
        </w:docPartObj>
        <w:rPr/>
      </w:sdtPr>
      <w:sdtContent>
        <w:p>
          <w:pPr>
            <w:pStyle w:val="939"/>
            <w:tabs>
              <w:tab w:val="left" w:pos="560" w:leader="none"/>
              <w:tab w:val="clear" w:pos="708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>
            <w:fldChar w:fldCharType="begin"/>
          </w:r>
          <w:r>
            <w:rPr>
              <w:rStyle w:val="910"/>
            </w:rPr>
            <w:instrText xml:space="preserve"> TOC \z \o "1-4" \u \h</w:instrText>
          </w:r>
          <w:r>
            <w:rPr>
              <w:rStyle w:val="910"/>
            </w:rPr>
            <w:fldChar w:fldCharType="separate"/>
          </w:r>
          <w:hyperlink w:tooltip="#_Toc141447041" w:anchor="_Toc141447041" w:history="1">
            <w:r>
              <w:rPr>
                <w:rStyle w:val="910"/>
              </w:rPr>
              <w:t xml:space="preserve">1.</w:t>
            </w:r>
            <w:r>
              <w:rPr>
                <w:rStyle w:val="910"/>
                <w:rFonts w:ascii="Calibri" w:hAnsi="Calibri" w:eastAsia="Arial" w:cs="Arial" w:asciiTheme="minorHAnsi" w:hAnsiTheme="minorHAnsi" w:eastAsiaTheme="minorEastAsia" w:cstheme="minorBidi"/>
                <w:b w:val="0"/>
                <w:bCs w:val="0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_Toc141447041 \h</w:instrText>
            </w:r>
            <w:r>
              <w:fldChar w:fldCharType="separate"/>
            </w:r>
            <w:r>
              <w:rPr>
                <w:rStyle w:val="910"/>
              </w:rPr>
              <w:t xml:space="preserve">Общие сведения</w:t>
              <w:tab/>
              <w:t xml:space="preserve">3</w:t>
            </w:r>
            <w:r>
              <w:fldChar w:fldCharType="end"/>
            </w:r>
          </w:hyperlink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  <w:p>
          <w:pPr>
            <w:pStyle w:val="950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pPr>
          <w:r/>
          <w:hyperlink w:tooltip="#_Toc141447042" w:anchor="_Toc141447042" w:history="1">
            <w:r>
              <w:rPr>
                <w:rStyle w:val="910"/>
                <w:iCs/>
              </w:rPr>
              <w:t xml:space="preserve">1.1.</w:t>
            </w:r>
            <w:r>
              <w:rPr>
                <w:rStyle w:val="910"/>
                <w:rFonts w:ascii="Calibri" w:hAnsi="Calibri" w:eastAsia="Arial" w:cs="Arial"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_Toc141447042 \h</w:instrText>
            </w:r>
            <w:r>
              <w:fldChar w:fldCharType="separate"/>
            </w:r>
            <w:r>
              <w:rPr>
                <w:rStyle w:val="910"/>
              </w:rPr>
              <w:t xml:space="preserve">Обозначения и сокращения</w:t>
              <w:tab/>
              <w:t xml:space="preserve">3</w:t>
            </w:r>
            <w:r>
              <w:fldChar w:fldCharType="end"/>
            </w:r>
          </w:hyperlink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50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pPr>
          <w:r/>
          <w:hyperlink w:tooltip="#_Toc141447043" w:anchor="_Toc141447043" w:history="1">
            <w:r>
              <w:rPr>
                <w:rStyle w:val="910"/>
                <w:iCs/>
              </w:rPr>
              <w:t xml:space="preserve">1.2.</w:t>
            </w:r>
            <w:r>
              <w:rPr>
                <w:rStyle w:val="910"/>
                <w:rFonts w:ascii="Calibri" w:hAnsi="Calibri" w:eastAsia="Arial" w:cs="Arial"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_Toc141447043 \h</w:instrText>
            </w:r>
            <w:r>
              <w:fldChar w:fldCharType="separate"/>
            </w:r>
            <w:r>
              <w:rPr>
                <w:rStyle w:val="910"/>
              </w:rPr>
              <w:t xml:space="preserve">Наименование закупаемой продукции</w:t>
              <w:tab/>
              <w:t xml:space="preserve">4</w:t>
            </w:r>
            <w:r>
              <w:fldChar w:fldCharType="end"/>
            </w:r>
          </w:hyperlink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50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</w:rPr>
          </w:pPr>
          <w:r/>
          <w:hyperlink w:tooltip="#_Toc141447045" w:anchor="_Toc141447045" w:history="1">
            <w:r>
              <w:rPr>
                <w:rStyle w:val="910"/>
                <w:iCs/>
              </w:rPr>
              <w:t xml:space="preserve">1.3.</w:t>
            </w:r>
            <w:r>
              <w:rPr>
                <w:rStyle w:val="910"/>
                <w:rFonts w:ascii="Calibri" w:hAnsi="Calibri" w:eastAsia="Arial" w:cs="Arial" w:asciiTheme="minorHAnsi" w:hAnsiTheme="minorHAnsi" w:eastAsiaTheme="minorEastAsia" w:cstheme="minorBidi"/>
              </w:rPr>
              <w:tab/>
            </w:r>
            <w:r>
              <w:fldChar w:fldCharType="begin"/>
            </w:r>
            <w:r>
              <w:instrText xml:space="preserve">PAGEREF _Toc141447045 \h</w:instrText>
            </w:r>
            <w:r>
              <w:fldChar w:fldCharType="separate"/>
            </w:r>
            <w:r>
              <w:rPr>
                <w:rStyle w:val="910"/>
              </w:rPr>
              <w:t xml:space="preserve">Цель выполнения работ</w:t>
              <w:tab/>
              <w:t xml:space="preserve">4</w:t>
            </w:r>
            <w:r>
              <w:fldChar w:fldCharType="end"/>
            </w:r>
          </w:hyperlink>
          <w:r>
            <w:rPr>
              <w:rFonts w:ascii="Calibri" w:hAnsi="Calibri" w:eastAsia="Arial" w:cs="Arial" w:asciiTheme="minorHAnsi" w:hAnsiTheme="minorHAnsi" w:eastAsiaTheme="minorEastAsia" w:cstheme="minorBidi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</w:rPr>
          </w:r>
        </w:p>
        <w:p>
          <w:pPr>
            <w:pStyle w:val="950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pPr>
          <w:r/>
          <w:hyperlink w:tooltip="#_Toc141447046" w:anchor="_Toc141447046" w:history="1">
            <w:r>
              <w:rPr>
                <w:rStyle w:val="910"/>
                <w:iCs/>
                <w:highlight w:val="white"/>
              </w:rPr>
              <w:t xml:space="preserve">1.4.</w:t>
            </w:r>
            <w:r>
              <w:rPr>
                <w:rStyle w:val="910"/>
                <w:rFonts w:ascii="Calibri" w:hAnsi="Calibri" w:eastAsia="Arial" w:cs="Arial" w:asciiTheme="minorHAnsi" w:hAnsiTheme="minorHAnsi" w:eastAsiaTheme="minorEastAsia" w:cstheme="minorBidi"/>
              </w:rPr>
              <w:tab/>
            </w:r>
            <w:r>
              <w:rPr>
                <w:rStyle w:val="910"/>
                <w:highlight w:val="white"/>
              </w:rPr>
              <w:t xml:space="preserve">Существующее положение</w:t>
            </w:r>
            <w:r>
              <w:fldChar w:fldCharType="begin"/>
            </w:r>
            <w:r>
              <w:instrText xml:space="preserve">PAGEREF _Toc141447046 \h</w:instrText>
            </w:r>
            <w:r>
              <w:fldChar w:fldCharType="separate"/>
            </w:r>
            <w:r>
              <w:rPr>
                <w:rStyle w:val="910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39"/>
            <w:tabs>
              <w:tab w:val="clear" w:pos="708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/>
          <w:hyperlink w:tooltip="#_Toc141447047" w:anchor="_Toc141447047" w:history="1">
            <w:r>
              <w:fldChar w:fldCharType="begin"/>
            </w:r>
            <w:r>
              <w:instrText xml:space="preserve">PAGEREF _Toc141447047 \h</w:instrText>
            </w:r>
            <w:r>
              <w:fldChar w:fldCharType="separate"/>
            </w:r>
            <w:r>
              <w:rPr>
                <w:rStyle w:val="910"/>
              </w:rPr>
              <w:t xml:space="preserve">Таблица 1. Перечень объектов заказчика</w:t>
              <w:tab/>
              <w:t xml:space="preserve">4</w:t>
            </w:r>
            <w:r>
              <w:fldChar w:fldCharType="end"/>
            </w:r>
          </w:hyperlink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  <w:p>
          <w:pPr>
            <w:pStyle w:val="950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pPr>
          <w:r/>
          <w:hyperlink w:tooltip="#_Toc141447048" w:anchor="_Toc141447048" w:history="1">
            <w:r>
              <w:rPr>
                <w:rStyle w:val="910"/>
                <w:iCs/>
              </w:rPr>
              <w:t xml:space="preserve">1.5.</w:t>
            </w:r>
            <w:r>
              <w:rPr>
                <w:rStyle w:val="910"/>
                <w:rFonts w:ascii="Calibri" w:hAnsi="Calibri" w:eastAsia="Arial" w:cs="Arial"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910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  <w:tab/>
            </w:r>
          </w:hyperlink>
          <w:r>
            <w:t xml:space="preserve">5</w:t>
          </w:r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39"/>
            <w:tabs>
              <w:tab w:val="left" w:pos="560" w:leader="none"/>
              <w:tab w:val="clear" w:pos="708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/>
          <w:hyperlink w:tooltip="#_Toc141447049" w:anchor="_Toc141447049" w:history="1">
            <w:r>
              <w:rPr>
                <w:rStyle w:val="910"/>
              </w:rPr>
              <w:t xml:space="preserve">2.</w:t>
            </w:r>
            <w:r>
              <w:rPr>
                <w:rStyle w:val="910"/>
                <w:rFonts w:ascii="Calibri" w:hAnsi="Calibri" w:eastAsia="Arial" w:cs="Arial" w:asciiTheme="minorHAnsi" w:hAnsiTheme="minorHAnsi" w:eastAsiaTheme="minorEastAsia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910"/>
                <w:iCs/>
              </w:rPr>
              <w:t xml:space="preserve">Требования к продукции</w:t>
            </w:r>
            <w:r>
              <w:rPr>
                <w:rStyle w:val="910"/>
              </w:rPr>
              <w:tab/>
            </w:r>
          </w:hyperlink>
          <w:r>
            <w:t xml:space="preserve">5</w:t>
          </w:r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  <w:p>
          <w:pPr>
            <w:pStyle w:val="950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pPr>
          <w:r/>
          <w:hyperlink w:tooltip="#_Toc141447050" w:anchor="_Toc141447050" w:history="1">
            <w:r>
              <w:rPr>
                <w:rStyle w:val="910"/>
                <w:iCs/>
              </w:rPr>
              <w:t xml:space="preserve">2.1.</w:t>
            </w:r>
            <w:r>
              <w:rPr>
                <w:rStyle w:val="910"/>
                <w:rFonts w:ascii="Calibri" w:hAnsi="Calibri" w:eastAsia="Arial" w:cs="Arial"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_Toc141447050 \h</w:instrText>
            </w:r>
            <w:r>
              <w:fldChar w:fldCharType="separate"/>
            </w:r>
            <w:r>
              <w:rPr>
                <w:rStyle w:val="910"/>
              </w:rPr>
              <w:t xml:space="preserve">Требования к объемам и срокам выполнения работ</w:t>
              <w:tab/>
              <w:t xml:space="preserve">5</w:t>
            </w:r>
            <w:r>
              <w:fldChar w:fldCharType="end"/>
            </w:r>
          </w:hyperlink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40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pPr>
          <w:r/>
          <w:hyperlink w:tooltip="#_Toc141447051" w:anchor="_Toc141447051" w:history="1">
            <w:r>
              <w:rPr>
                <w:rStyle w:val="910"/>
              </w:rPr>
              <w:t xml:space="preserve">2.1.1.</w:t>
            </w:r>
            <w:r>
              <w:rPr>
                <w:rStyle w:val="910"/>
                <w:rFonts w:ascii="Calibri" w:hAnsi="Calibri" w:eastAsia="Arial" w:cs="Arial"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910"/>
              </w:rPr>
              <w:t xml:space="preserve">Требования к видам и объемам работ</w:t>
              <w:tab/>
            </w:r>
          </w:hyperlink>
          <w:r>
            <w:t xml:space="preserve">5</w:t>
          </w:r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39"/>
            <w:tabs>
              <w:tab w:val="clear" w:pos="708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/>
          <w:hyperlink w:tooltip="#_Toc141447052" w:anchor="_Toc141447052" w:history="1">
            <w:r>
              <w:rPr>
                <w:rStyle w:val="910"/>
              </w:rPr>
              <w:t xml:space="preserve">Таблица 2. Перечень и объем выполняемых работ</w:t>
              <w:tab/>
            </w:r>
          </w:hyperlink>
          <w:r>
            <w:t xml:space="preserve">5</w:t>
          </w:r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  <w:p>
          <w:pPr>
            <w:pStyle w:val="940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pPr>
          <w:r/>
          <w:hyperlink w:tooltip="#_Toc141447053" w:anchor="_Toc141447053" w:history="1">
            <w:r>
              <w:rPr>
                <w:rStyle w:val="910"/>
              </w:rPr>
              <w:t xml:space="preserve">2.1.2.</w:t>
            </w:r>
            <w:r>
              <w:rPr>
                <w:rStyle w:val="910"/>
                <w:rFonts w:ascii="Calibri" w:hAnsi="Calibri" w:eastAsia="Arial" w:cs="Arial"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_Toc141447053 \h</w:instrText>
            </w:r>
            <w:r>
              <w:fldChar w:fldCharType="separate"/>
            </w:r>
            <w:r>
              <w:rPr>
                <w:rStyle w:val="910"/>
              </w:rPr>
              <w:t xml:space="preserve">Требования к срокам выполнения работ</w:t>
              <w:tab/>
              <w:t xml:space="preserve">5</w:t>
            </w:r>
            <w:r>
              <w:fldChar w:fldCharType="end"/>
            </w:r>
          </w:hyperlink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39"/>
            <w:tabs>
              <w:tab w:val="clear" w:pos="708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/>
          <w:hyperlink w:tooltip="#_Toc141447054" w:anchor="_Toc141447054" w:history="1">
            <w:r>
              <w:fldChar w:fldCharType="begin"/>
            </w:r>
            <w:r>
              <w:instrText xml:space="preserve">PAGEREF _Toc141447054 \h</w:instrText>
            </w:r>
            <w:r>
              <w:fldChar w:fldCharType="separate"/>
            </w:r>
            <w:r>
              <w:rPr>
                <w:rStyle w:val="910"/>
              </w:rPr>
              <w:t xml:space="preserve">Таблица 3. Требования по срокам выполнения работ</w:t>
              <w:tab/>
              <w:t xml:space="preserve">5</w:t>
            </w:r>
            <w:r>
              <w:fldChar w:fldCharType="end"/>
            </w:r>
          </w:hyperlink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  <w:p>
          <w:pPr>
            <w:pStyle w:val="950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pPr>
          <w:r/>
          <w:hyperlink w:tooltip="#_Toc141447055" w:anchor="_Toc141447055" w:history="1">
            <w:r>
              <w:rPr>
                <w:rStyle w:val="910"/>
                <w:iCs/>
              </w:rPr>
              <w:t xml:space="preserve">2.2.</w:t>
            </w:r>
            <w:r>
              <w:rPr>
                <w:rStyle w:val="910"/>
                <w:rFonts w:ascii="Calibri" w:hAnsi="Calibri" w:eastAsia="Arial" w:cs="Arial"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_Toc141447055 \h</w:instrText>
            </w:r>
            <w:r>
              <w:fldChar w:fldCharType="separate"/>
            </w:r>
            <w:r>
              <w:rPr>
                <w:rStyle w:val="910"/>
              </w:rPr>
              <w:t xml:space="preserve">Требования к качеству работ</w:t>
              <w:tab/>
              <w:t xml:space="preserve">6</w:t>
            </w:r>
            <w:r>
              <w:fldChar w:fldCharType="end"/>
            </w:r>
          </w:hyperlink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39"/>
            <w:tabs>
              <w:tab w:val="clear" w:pos="708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/>
          <w:hyperlink w:tooltip="#_Toc141447056" w:anchor="_Toc141447056" w:history="1">
            <w:r>
              <w:fldChar w:fldCharType="begin"/>
            </w:r>
            <w:r>
              <w:instrText xml:space="preserve">PAGEREF _Toc141447056 \h</w:instrText>
            </w:r>
            <w:r>
              <w:fldChar w:fldCharType="separate"/>
            </w:r>
            <w:r>
              <w:rPr>
                <w:rStyle w:val="910"/>
              </w:rPr>
              <w:t xml:space="preserve">Таблица 4. Требования к качеству работ</w:t>
              <w:tab/>
              <w:t xml:space="preserve">6</w:t>
            </w:r>
            <w:r>
              <w:fldChar w:fldCharType="end"/>
            </w:r>
          </w:hyperlink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  <w:p>
          <w:pPr>
            <w:pStyle w:val="939"/>
            <w:tabs>
              <w:tab w:val="left" w:pos="560" w:leader="none"/>
              <w:tab w:val="clear" w:pos="708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/>
          <w:hyperlink w:tooltip="#_Toc141447057" w:anchor="_Toc141447057" w:history="1">
            <w:r>
              <w:rPr>
                <w:rStyle w:val="910"/>
              </w:rPr>
              <w:t xml:space="preserve">3.</w:t>
            </w:r>
            <w:r>
              <w:rPr>
                <w:rStyle w:val="910"/>
                <w:rFonts w:ascii="Calibri" w:hAnsi="Calibri" w:eastAsia="Arial" w:cs="Arial" w:asciiTheme="minorHAnsi" w:hAnsiTheme="minorHAnsi" w:eastAsiaTheme="minorEastAsia" w:cstheme="minorBidi"/>
                <w:b w:val="0"/>
                <w:bCs w:val="0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_Toc141447057 \h</w:instrText>
            </w:r>
            <w:r>
              <w:fldChar w:fldCharType="separate"/>
            </w:r>
            <w:r>
              <w:rPr>
                <w:rStyle w:val="910"/>
              </w:rPr>
              <w:t xml:space="preserve">Требования к документации по ценообразованию на этапе закупки</w:t>
              <w:tab/>
              <w:t xml:space="preserve">15</w:t>
            </w:r>
            <w:r>
              <w:fldChar w:fldCharType="end"/>
            </w:r>
          </w:hyperlink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  <w:p>
          <w:pPr>
            <w:pStyle w:val="950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pPr>
          <w:r/>
          <w:hyperlink w:tooltip="#_Toc141447059" w:anchor="_Toc141447059" w:history="1">
            <w:r>
              <w:fldChar w:fldCharType="begin"/>
            </w:r>
            <w:r>
              <w:instrText xml:space="preserve">PAGEREF _Toc141447059 \h</w:instrText>
            </w:r>
            <w:r>
              <w:fldChar w:fldCharType="separate"/>
            </w:r>
            <w:r>
              <w:rPr>
                <w:rStyle w:val="910"/>
              </w:rPr>
              <w:tab/>
            </w:r>
            <w:r>
              <w:fldChar w:fldCharType="end"/>
            </w:r>
          </w:hyperlink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39"/>
            <w:tabs>
              <w:tab w:val="left" w:pos="560" w:leader="none"/>
              <w:tab w:val="clear" w:pos="708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/>
          <w:hyperlink w:tooltip="#_Toc141447060" w:anchor="_Toc141447060" w:history="1">
            <w:r>
              <w:rPr>
                <w:rStyle w:val="910"/>
              </w:rPr>
              <w:t xml:space="preserve">4.</w:t>
            </w:r>
            <w:r>
              <w:rPr>
                <w:rStyle w:val="910"/>
                <w:rFonts w:ascii="Calibri" w:hAnsi="Calibri" w:eastAsia="Arial" w:cs="Arial" w:asciiTheme="minorHAnsi" w:hAnsiTheme="minorHAnsi" w:eastAsiaTheme="minorEastAsia" w:cstheme="minorBidi"/>
                <w:b w:val="0"/>
                <w:bCs w:val="0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_Toc141447060 \h</w:instrText>
            </w:r>
            <w:r>
              <w:fldChar w:fldCharType="separate"/>
            </w:r>
            <w:r>
              <w:rPr>
                <w:rStyle w:val="910"/>
              </w:rPr>
              <w:t xml:space="preserve">Требования к документации по ценообразованию на этапе заключения (исполнения) договора</w:t>
              <w:tab/>
              <w:t xml:space="preserve">16</w:t>
            </w:r>
            <w:r>
              <w:fldChar w:fldCharType="end"/>
            </w:r>
          </w:hyperlink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  <w:p>
          <w:pPr>
            <w:pStyle w:val="950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pPr>
          <w:r/>
          <w:hyperlink w:tooltip="#_Toc141447061" w:anchor="_Toc141447061" w:history="1">
            <w:r>
              <w:rPr>
                <w:rStyle w:val="910"/>
                <w:i/>
                <w:iCs/>
              </w:rPr>
              <w:t xml:space="preserve">4.1.</w:t>
            </w:r>
            <w:r>
              <w:rPr>
                <w:rStyle w:val="910"/>
                <w:rFonts w:ascii="Calibri" w:hAnsi="Calibri" w:eastAsia="Arial" w:cs="Arial"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910"/>
                <w:i/>
                <w:iCs/>
              </w:rPr>
              <w:t xml:space="preserve">Требования к составлению сметной документации (при заключении договора):</w:t>
            </w:r>
            <w:r>
              <w:fldChar w:fldCharType="begin"/>
            </w:r>
            <w:r>
              <w:instrText xml:space="preserve">PAGEREF _Toc141447061 \h</w:instrText>
            </w:r>
            <w:r>
              <w:fldChar w:fldCharType="separate"/>
            </w:r>
            <w:r>
              <w:rPr>
                <w:rStyle w:val="910"/>
              </w:rPr>
              <w:tab/>
              <w:t xml:space="preserve">16</w:t>
            </w:r>
            <w:r>
              <w:fldChar w:fldCharType="end"/>
            </w:r>
          </w:hyperlink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39"/>
            <w:tabs>
              <w:tab w:val="left" w:pos="560" w:leader="none"/>
              <w:tab w:val="clear" w:pos="708" w:leader="none"/>
              <w:tab w:val="right" w:pos="9911" w:leader="dot"/>
            </w:tabs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/>
          <w:hyperlink w:tooltip="#_Toc141447064" w:anchor="_Toc141447064" w:history="1">
            <w:r>
              <w:rPr>
                <w:rStyle w:val="910"/>
              </w:rPr>
              <w:t xml:space="preserve">5.</w:t>
            </w:r>
            <w:r>
              <w:rPr>
                <w:rStyle w:val="910"/>
                <w:rFonts w:ascii="Calibri" w:hAnsi="Calibri" w:eastAsia="Arial" w:cs="Arial" w:asciiTheme="minorHAnsi" w:hAnsiTheme="minorHAnsi" w:eastAsiaTheme="minorEastAsia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910"/>
                <w:iCs/>
              </w:rPr>
              <w:t xml:space="preserve">Приложения</w:t>
            </w:r>
            <w:r>
              <w:fldChar w:fldCharType="begin"/>
            </w:r>
            <w:r>
              <w:instrText xml:space="preserve">PAGEREF _Toc141447064 \h</w:instrText>
            </w:r>
            <w:r>
              <w:fldChar w:fldCharType="separate"/>
            </w:r>
            <w:r>
              <w:rPr>
                <w:rStyle w:val="910"/>
              </w:rPr>
              <w:tab/>
              <w:t xml:space="preserve">17</w:t>
            </w:r>
            <w:r>
              <w:fldChar w:fldCharType="end"/>
            </w:r>
          </w:hyperlink>
          <w:r>
            <w:rPr>
              <w:rStyle w:val="910"/>
            </w:rPr>
            <w:fldChar w:fldCharType="end"/>
          </w:r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="Calibri" w:hAnsi="Calibri" w:eastAsia="Arial" w:cs="Arial"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</w:sdtContent>
    </w:sdt>
    <w:p>
      <w:pPr>
        <w:pStyle w:val="837"/>
        <w:ind w:left="1440" w:hanging="720"/>
        <w:rPr>
          <w:b w:val="0"/>
          <w:i/>
        </w:rPr>
      </w:pPr>
      <w:r>
        <w:rPr>
          <w:b w:val="0"/>
          <w:i/>
        </w:rPr>
      </w:r>
      <w:r>
        <w:rPr>
          <w:b w:val="0"/>
          <w:i/>
        </w:rPr>
      </w:r>
      <w:r>
        <w:rPr>
          <w:b w:val="0"/>
          <w:i/>
        </w:rPr>
      </w:r>
    </w:p>
    <w:p>
      <w:pPr>
        <w:pStyle w:val="835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35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35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35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35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37"/>
        <w:ind w:left="0" w:firstLine="0"/>
        <w:tabs>
          <w:tab w:val="clear" w:pos="1440" w:leader="none"/>
        </w:tabs>
        <w:rPr>
          <w:b w:val="0"/>
          <w:i/>
        </w:rPr>
      </w:pPr>
      <w:r>
        <w:rPr>
          <w:b w:val="0"/>
          <w:i/>
        </w:rPr>
      </w:r>
      <w:r>
        <w:rPr>
          <w:b w:val="0"/>
          <w:i/>
        </w:rPr>
      </w:r>
      <w:r>
        <w:rPr>
          <w:b w:val="0"/>
          <w:i/>
        </w:rPr>
      </w:r>
    </w:p>
    <w:p>
      <w:pPr>
        <w:pStyle w:val="837"/>
        <w:ind w:left="0" w:firstLine="0"/>
        <w:tabs>
          <w:tab w:val="clear" w:pos="1440" w:leader="none"/>
        </w:tabs>
        <w:rPr>
          <w:b w:val="0"/>
          <w:i/>
        </w:rPr>
      </w:pPr>
      <w:r>
        <w:rPr>
          <w:b w:val="0"/>
          <w:i/>
        </w:rPr>
      </w:r>
      <w:r>
        <w:rPr>
          <w:b w:val="0"/>
          <w:i/>
        </w:rPr>
      </w:r>
      <w:r>
        <w:rPr>
          <w:b w:val="0"/>
          <w:i/>
        </w:rPr>
      </w:r>
    </w:p>
    <w:p>
      <w:pPr>
        <w:pStyle w:val="835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36"/>
        <w:numPr>
          <w:ilvl w:val="0"/>
          <w:numId w:val="1"/>
        </w:numPr>
        <w:ind w:left="357" w:hanging="357"/>
        <w:jc w:val="center"/>
        <w:keepLines/>
        <w:spacing w:before="0" w:after="60"/>
        <w:rPr>
          <w:caps/>
          <w:sz w:val="24"/>
          <w:szCs w:val="24"/>
        </w:rPr>
      </w:pPr>
      <w:r>
        <w:rPr>
          <w:sz w:val="24"/>
          <w:szCs w:val="24"/>
        </w:rPr>
        <w:t xml:space="preserve">Общие сведения</w:t>
      </w:r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839"/>
        <w:ind w:left="1440" w:hanging="720"/>
      </w:pPr>
      <w:r>
        <w:t xml:space="preserve"> </w:t>
      </w:r>
      <w:r>
        <w:t xml:space="preserve">1.1 Обозначения и сокращения</w:t>
      </w:r>
      <w:r/>
    </w:p>
    <w:tbl>
      <w:tblPr>
        <w:tblW w:w="978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7"/>
      </w:tblGrid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ТТ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технические требования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rStyle w:val="896"/>
                <w:b w:val="0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НДТ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rStyle w:val="896"/>
                <w:b w:val="0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Нормативно-техническая документация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rStyle w:val="896"/>
                <w:b w:val="0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СП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rStyle w:val="896"/>
                <w:b w:val="0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Свод правил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>
          <w:cantSplit/>
        </w:trPr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rStyle w:val="896"/>
                <w:b w:val="0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МДС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rStyle w:val="896"/>
                <w:b w:val="0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методические документы в строительстве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>
          <w:cantSplit/>
        </w:trPr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rStyle w:val="896"/>
                <w:b w:val="0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ВСН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rStyle w:val="896"/>
                <w:b w:val="0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Ведомственные строительные нормы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>
          <w:cantSplit/>
        </w:trPr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rStyle w:val="896"/>
                <w:b w:val="0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СТО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rStyle w:val="896"/>
                <w:b w:val="0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Стандарт организации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>
          <w:cantSplit/>
        </w:trPr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rStyle w:val="896"/>
                <w:b w:val="0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РД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rStyle w:val="896"/>
                <w:b w:val="0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Рабочая документация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>
          <w:cantSplit/>
        </w:trPr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rStyle w:val="896"/>
                <w:b w:val="0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СНиП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rStyle w:val="896"/>
                <w:b w:val="0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Санитарные нормы и правила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>
          <w:cantSplit/>
        </w:trPr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rStyle w:val="896"/>
                <w:b w:val="0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СО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rStyle w:val="896"/>
                <w:b w:val="0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Стандарт организации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>
          <w:cantSplit/>
        </w:trPr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pdf – portable document format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формат файла электронного документа;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>
          <w:cantSplit/>
        </w:trPr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iCs/>
                <w:sz w:val="24"/>
                <w:szCs w:val="24"/>
              </w:rPr>
              <w:t xml:space="preserve">МТР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iCs/>
                <w:sz w:val="24"/>
                <w:szCs w:val="24"/>
              </w:rPr>
              <w:t xml:space="preserve">Материально – технические ресурсы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</w:tr>
    </w:tbl>
    <w:p>
      <w:pPr>
        <w:pStyle w:val="835"/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9"/>
        <w:ind w:left="360" w:firstLine="0"/>
        <w:spacing w:before="0" w:after="60"/>
        <w:tabs>
          <w:tab w:val="clear" w:pos="1440" w:leader="none"/>
        </w:tabs>
      </w:pPr>
      <w:r>
        <w:t xml:space="preserve">1.2</w:t>
      </w:r>
      <w:bookmarkStart w:id="0" w:name="_Toc54646397"/>
      <w:r>
        <w:t xml:space="preserve"> Наименование закупаемой продукции</w:t>
      </w:r>
      <w:bookmarkEnd w:id="0"/>
      <w:r/>
      <w:r/>
    </w:p>
    <w:p>
      <w:pPr>
        <w:pStyle w:val="835"/>
        <w:jc w:val="left"/>
        <w:keepLines/>
        <w:keepNext/>
        <w:rPr>
          <w:rFonts w:eastAsia="Calibri"/>
          <w:b w:val="0"/>
          <w:bCs w:val="0"/>
          <w:i w:val="0"/>
          <w:sz w:val="28"/>
          <w:szCs w:val="28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«</w:t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ОКПД2 33.14.19.000 Выполнение работ по среднему ремонту </w:t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турбогенератора №1  Благовещенской ТЭЦ г. Благовещенск.</w:t>
      </w:r>
      <w:r>
        <w:rPr>
          <w:b w:val="0"/>
          <w:sz w:val="24"/>
          <w:szCs w:val="24"/>
        </w:rPr>
        <w:t xml:space="preserve">».</w:t>
      </w:r>
      <w:r>
        <w:rPr>
          <w:b w:val="0"/>
          <w:i/>
          <w:iCs/>
          <w:sz w:val="24"/>
          <w:szCs w:val="24"/>
        </w:rPr>
        <w:t xml:space="preserve">    </w:t>
      </w:r>
      <w:r>
        <w:rPr>
          <w:b w:val="0"/>
          <w:sz w:val="24"/>
          <w:szCs w:val="24"/>
        </w:rPr>
        <w:t xml:space="preserve">      </w:t>
      </w:r>
      <w:r>
        <w:rPr>
          <w:b w:val="0"/>
        </w:rPr>
        <w:t xml:space="preserve">                                                                                             </w:t>
      </w:r>
      <w:r>
        <w:rPr>
          <w:rFonts w:eastAsia="Calibri"/>
          <w:b w:val="0"/>
          <w:bCs w:val="0"/>
          <w:i w:val="0"/>
          <w:sz w:val="28"/>
          <w:szCs w:val="28"/>
        </w:rPr>
      </w:r>
      <w:r>
        <w:rPr>
          <w:rFonts w:eastAsia="Calibri"/>
          <w:b w:val="0"/>
          <w:bCs w:val="0"/>
          <w:i w:val="0"/>
          <w:sz w:val="28"/>
          <w:szCs w:val="28"/>
        </w:rPr>
      </w:r>
    </w:p>
    <w:p>
      <w:pPr>
        <w:pStyle w:val="839"/>
        <w:ind w:left="0" w:firstLine="283"/>
        <w:tabs>
          <w:tab w:val="left" w:pos="709" w:leader="none"/>
          <w:tab w:val="clear" w:pos="1440" w:leader="none"/>
        </w:tabs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9"/>
        <w:ind w:left="0" w:firstLine="283"/>
        <w:tabs>
          <w:tab w:val="left" w:pos="709" w:leader="none"/>
          <w:tab w:val="clear" w:pos="1440" w:leader="none"/>
        </w:tabs>
      </w:pPr>
      <w:r>
        <w:t xml:space="preserve">1.3. Цель выполнения работ</w:t>
      </w:r>
      <w:r/>
    </w:p>
    <w:p>
      <w:pPr>
        <w:pStyle w:val="836"/>
        <w:ind w:left="0" w:firstLine="708"/>
        <w:jc w:val="both"/>
        <w:keepLines/>
        <w:spacing w:before="240" w:after="60"/>
        <w:rPr>
          <w:b w:val="0"/>
          <w:bCs w:val="0"/>
          <w:i w:val="0"/>
          <w:iCs w:val="0"/>
          <w:sz w:val="24"/>
          <w:szCs w:val="24"/>
        </w:rPr>
      </w:pPr>
      <w:r>
        <w:rPr>
          <w:b w:val="0"/>
          <w:bCs w:val="0"/>
          <w:i w:val="0"/>
          <w:iCs w:val="0"/>
          <w:sz w:val="24"/>
          <w:szCs w:val="24"/>
        </w:rPr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Целью работы является</w:t>
      </w:r>
      <w:r>
        <w:rPr>
          <w:rFonts w:eastAsia="Times New Roman"/>
          <w:b w:val="0"/>
          <w:bCs w:val="0"/>
          <w:i w:val="0"/>
          <w:iCs w:val="0"/>
          <w:sz w:val="24"/>
          <w:szCs w:val="24"/>
          <w:lang w:eastAsia="ru-RU"/>
        </w:rPr>
        <w:t xml:space="preserve"> обеспечение исправного состояния турбогенератора ст.№1 Благовещенской ТЭЦ, надежной и безопасной  эксплуатации.</w:t>
      </w:r>
      <w:r>
        <w:rPr>
          <w:b w:val="0"/>
          <w:bCs w:val="0"/>
          <w:i w:val="0"/>
          <w:iCs w:val="0"/>
          <w:sz w:val="24"/>
          <w:szCs w:val="24"/>
        </w:rPr>
      </w:r>
      <w:r>
        <w:rPr>
          <w:b w:val="0"/>
          <w:bCs w:val="0"/>
          <w:i w:val="0"/>
          <w:iCs w:val="0"/>
          <w:sz w:val="24"/>
          <w:szCs w:val="24"/>
        </w:rPr>
      </w:r>
    </w:p>
    <w:p>
      <w:pPr>
        <w:pStyle w:val="836"/>
        <w:ind w:left="0" w:firstLine="0"/>
        <w:jc w:val="both"/>
        <w:keepLines/>
        <w:spacing w:before="240" w:after="60"/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</w:rPr>
        <w:t xml:space="preserve">     </w:t>
      </w:r>
      <w:r>
        <w:rPr>
          <w:sz w:val="24"/>
          <w:szCs w:val="24"/>
        </w:rPr>
        <w:t xml:space="preserve">1.4 </w:t>
      </w:r>
      <w:bookmarkStart w:id="1" w:name="_Toc46743508"/>
      <w:r/>
      <w:bookmarkStart w:id="2" w:name="_Toc129956734"/>
      <w:r/>
      <w:bookmarkStart w:id="3" w:name="_Toc141447046"/>
      <w:r>
        <w:rPr>
          <w:sz w:val="24"/>
          <w:szCs w:val="24"/>
          <w:highlight w:val="white"/>
        </w:rPr>
        <w:t xml:space="preserve">Существующее положение</w:t>
      </w:r>
      <w:bookmarkEnd w:id="1"/>
      <w:r/>
      <w:bookmarkEnd w:id="2"/>
      <w:r/>
      <w:bookmarkEnd w:id="3"/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pStyle w:val="835"/>
      </w:pPr>
      <w:r/>
      <w:r/>
    </w:p>
    <w:p>
      <w:pPr>
        <w:pStyle w:val="835"/>
        <w:ind w:firstLine="708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«Благовещенская ТЭЦ» – структурное подразделение АО «Дальневосточная генерирующая компан</w:t>
      </w:r>
      <w:r>
        <w:rPr>
          <w:sz w:val="24"/>
          <w:szCs w:val="24"/>
          <w:highlight w:val="white"/>
        </w:rPr>
        <w:t xml:space="preserve">ия» (АО «ДГК»), входящее в Группу РусГидро, действует на территории Амурской области, г. Благовещенска. Основные виды деятельности – производство электрической и тепловой энергии, транспортировка и реализация тепловой энергии населению и юридическим лицам.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36"/>
        <w:ind w:left="0" w:firstLine="0"/>
        <w:keepLines/>
        <w:spacing w:before="240" w:after="60"/>
        <w:rPr>
          <w:sz w:val="24"/>
          <w:szCs w:val="24"/>
        </w:rPr>
      </w:pPr>
      <w:r/>
      <w:bookmarkStart w:id="4" w:name="undefined"/>
      <w:r>
        <w:rPr>
          <w:sz w:val="24"/>
          <w:szCs w:val="24"/>
        </w:rPr>
        <w:t xml:space="preserve">Таблица 1. Перечень объектов заказчика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47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47"/>
        <w:gridCol w:w="3656"/>
        <w:gridCol w:w="524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6" w:type="dxa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6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0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6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  <w:highlight w:val="white"/>
              </w:rPr>
              <w:t xml:space="preserve">Турбогенератор ст.№1 </w:t>
            </w:r>
            <w:r>
              <w:rPr>
                <w:bCs/>
                <w:i w:val="0"/>
                <w:iCs w:val="0"/>
                <w:sz w:val="24"/>
                <w:szCs w:val="24"/>
                <w:highlight w:val="white"/>
              </w:rPr>
              <w:t xml:space="preserve">типа ТВФ-60-2 инв..№ 0000000000000004529</w:t>
            </w:r>
            <w:r>
              <w:rPr>
                <w:bCs/>
                <w:i w:val="0"/>
                <w:iCs w:val="0"/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pStyle w:val="835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675007. Амурская обл., г. Благовещенск,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pStyle w:val="835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              </w:t>
            </w:r>
            <w:r>
              <w:rPr>
                <w:i/>
                <w:sz w:val="24"/>
                <w:szCs w:val="24"/>
              </w:rPr>
              <w:t xml:space="preserve">ул. Загородная,177,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pStyle w:val="835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СП «Благовещенская ТЭЦ» АО «ДГК».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</w:tbl>
    <w:p>
      <w:pPr>
        <w:pStyle w:val="835"/>
      </w:pPr>
      <w:r/>
      <w:r/>
    </w:p>
    <w:p>
      <w:pPr>
        <w:pStyle w:val="835"/>
        <w:rPr>
          <w:b/>
          <w:bCs/>
          <w:sz w:val="24"/>
          <w:szCs w:val="24"/>
        </w:rPr>
      </w:pPr>
      <w:r>
        <w:rPr>
          <w:i/>
          <w:iCs/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1.5. </w:t>
      </w:r>
      <w:bookmarkStart w:id="5" w:name="_Toc141447048"/>
      <w:r/>
      <w:bookmarkStart w:id="6" w:name="_Hlk49857604"/>
      <w:r/>
      <w:bookmarkStart w:id="7" w:name="_Toc46743509"/>
      <w:r>
        <w:rPr>
          <w:b/>
          <w:bCs/>
          <w:sz w:val="24"/>
          <w:szCs w:val="24"/>
        </w:rPr>
        <w:t xml:space="preserve">Информация в отношении исполнения договора, </w:t>
      </w:r>
      <w:bookmarkStart w:id="8" w:name="_Hlk46492347"/>
      <w:r>
        <w:rPr>
          <w:b/>
          <w:bCs/>
          <w:sz w:val="24"/>
          <w:szCs w:val="24"/>
        </w:rPr>
        <w:t xml:space="preserve">которая должна быть учтена при подготовке заявки </w:t>
      </w:r>
      <w:bookmarkEnd w:id="8"/>
      <w:r>
        <w:rPr>
          <w:b/>
          <w:bCs/>
          <w:sz w:val="24"/>
          <w:szCs w:val="24"/>
        </w:rP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5"/>
      <w:r/>
      <w:bookmarkEnd w:id="6"/>
      <w:r/>
      <w:bookmarkEnd w:id="7"/>
      <w:r>
        <w:rPr>
          <w:b/>
          <w:bCs/>
          <w:sz w:val="24"/>
          <w:szCs w:val="24"/>
        </w:rPr>
        <w:t xml:space="preserve">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3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35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Заказчик предоставит Подрядчику:на период выполнения ремонтных работ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9"/>
        <w:ind w:left="0" w:firstLine="0"/>
        <w:jc w:val="both"/>
      </w:pPr>
      <w:r>
        <w:t xml:space="preserve">      </w:t>
      </w:r>
      <w:r>
        <w:rPr>
          <w:b w:val="0"/>
          <w:bCs w:val="0"/>
        </w:rPr>
        <w:t xml:space="preserve">  </w:t>
      </w:r>
      <w:r>
        <w:rPr>
          <w:b w:val="0"/>
          <w:bCs w:val="0"/>
        </w:rPr>
        <w:t xml:space="preserve">1.5.1.</w:t>
      </w:r>
      <w:r>
        <w:t xml:space="preserve"> </w:t>
      </w:r>
      <w:r>
        <w:rPr>
          <w:b w:val="0"/>
          <w:bCs w:val="0"/>
        </w:rPr>
        <w:t xml:space="preserve">Электроэнергию, воду, бытовые помещения. </w:t>
      </w:r>
      <w:r/>
    </w:p>
    <w:p>
      <w:pPr>
        <w:pStyle w:val="835"/>
        <w:jc w:val="both"/>
        <w:rPr>
          <w:bCs/>
          <w:sz w:val="24"/>
          <w:szCs w:val="24"/>
        </w:rPr>
      </w:pPr>
      <w:r>
        <w:t xml:space="preserve">       </w:t>
      </w:r>
      <w:r>
        <w:rPr>
          <w:sz w:val="24"/>
          <w:szCs w:val="24"/>
        </w:rPr>
        <w:t xml:space="preserve">1.5.2. Давальческие материалы, перечень которых указан в приложении № 2 к настоящим Техническим требованиям.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35"/>
      </w:pPr>
      <w:r/>
      <w:r/>
    </w:p>
    <w:p>
      <w:pPr>
        <w:pStyle w:val="836"/>
        <w:ind w:left="360" w:firstLine="0"/>
        <w:jc w:val="center"/>
        <w:keepLines/>
        <w:rPr>
          <w:iCs/>
          <w:caps/>
        </w:rPr>
      </w:pPr>
      <w:r>
        <w:t xml:space="preserve">2. </w:t>
      </w:r>
      <w:bookmarkStart w:id="9" w:name="_Toc46743510"/>
      <w:r/>
      <w:bookmarkStart w:id="10" w:name="_Toc54646403"/>
      <w:r/>
      <w:bookmarkStart w:id="11" w:name="_Toc50125126"/>
      <w:r/>
      <w:bookmarkStart w:id="12" w:name="_Toc51339693"/>
      <w:r>
        <w:rPr>
          <w:iCs/>
        </w:rPr>
        <w:t xml:space="preserve">Требования к продукции</w:t>
      </w:r>
      <w:bookmarkEnd w:id="10"/>
      <w:r/>
      <w:bookmarkEnd w:id="12"/>
      <w:r>
        <w:rPr>
          <w:iCs/>
          <w:caps/>
        </w:rPr>
      </w:r>
      <w:r>
        <w:rPr>
          <w:iCs/>
          <w:caps/>
        </w:rPr>
      </w:r>
    </w:p>
    <w:p>
      <w:pPr>
        <w:pStyle w:val="839"/>
        <w:ind w:left="360" w:firstLine="0"/>
        <w:tabs>
          <w:tab w:val="clear" w:pos="1440" w:leader="none"/>
        </w:tabs>
      </w:pPr>
      <w:r>
        <w:t xml:space="preserve">2.1</w:t>
      </w:r>
      <w:bookmarkStart w:id="13" w:name="_Toc54646404"/>
      <w:r>
        <w:t xml:space="preserve"> Требования к объемам и срокам выполнения работ</w:t>
      </w:r>
      <w:bookmarkEnd w:id="13"/>
      <w:r/>
      <w:r/>
    </w:p>
    <w:p>
      <w:pPr>
        <w:pStyle w:val="838"/>
        <w:numPr>
          <w:ilvl w:val="0"/>
          <w:numId w:val="0"/>
        </w:numPr>
        <w:ind w:left="360" w:firstLine="0"/>
      </w:pPr>
      <w:r>
        <w:t xml:space="preserve">2.1.1</w:t>
      </w:r>
      <w:bookmarkStart w:id="14" w:name="_Toc54646405"/>
      <w:r>
        <w:t xml:space="preserve"> Требования к видам и объемам работ</w:t>
      </w:r>
      <w:bookmarkEnd w:id="14"/>
      <w:r/>
      <w:r/>
    </w:p>
    <w:p>
      <w:pPr>
        <w:pStyle w:val="836"/>
        <w:ind w:left="0" w:firstLine="0"/>
        <w:keepLines/>
        <w:spacing w:before="240" w:after="60"/>
        <w:rPr>
          <w:sz w:val="24"/>
          <w:szCs w:val="24"/>
        </w:rPr>
      </w:pPr>
      <w:r/>
      <w:bookmarkStart w:id="15" w:name="_Toc54646406"/>
      <w:r/>
      <w:bookmarkStart w:id="16" w:name="_Toc51339695"/>
      <w:r>
        <w:rPr>
          <w:sz w:val="24"/>
          <w:szCs w:val="24"/>
        </w:rPr>
        <w:t xml:space="preserve">Таблица 2. Перечень </w:t>
      </w:r>
      <w:bookmarkEnd w:id="16"/>
      <w:r>
        <w:rPr>
          <w:sz w:val="24"/>
          <w:szCs w:val="24"/>
        </w:rPr>
        <w:t xml:space="preserve">и объем выполняемых работ</w:t>
      </w:r>
      <w:bookmarkEnd w:id="1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</w:pPr>
      <w:r/>
      <w:r/>
    </w:p>
    <w:tbl>
      <w:tblPr>
        <w:tblW w:w="9810" w:type="dxa"/>
        <w:tblInd w:w="22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50"/>
        <w:gridCol w:w="4848"/>
        <w:gridCol w:w="1988"/>
        <w:gridCol w:w="212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8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8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8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8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3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35"/>
              <w:jc w:val="center"/>
              <w:rPr>
                <w:bCs/>
              </w:rPr>
            </w:pPr>
            <w:r>
              <w:t xml:space="preserve">1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8" w:type="dxa"/>
            <w:textDirection w:val="lrTb"/>
            <w:noWrap w:val="false"/>
          </w:tcPr>
          <w:p>
            <w:pPr>
              <w:pStyle w:val="835"/>
              <w:rPr>
                <w:bCs/>
              </w:rPr>
            </w:pPr>
            <w:r>
              <w:rPr>
                <w:rFonts w:eastAsia="Calibri"/>
                <w:sz w:val="24"/>
                <w:szCs w:val="24"/>
              </w:rPr>
              <w:t xml:space="preserve">«</w:t>
            </w:r>
            <w:r>
              <w:rPr>
                <w:b w:val="0"/>
                <w:sz w:val="24"/>
                <w:szCs w:val="24"/>
              </w:rPr>
              <w:t xml:space="preserve">«</w:t>
            </w:r>
            <w:r>
              <w:rPr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  <w:t xml:space="preserve">ОКПД2 33.14.19.000 Выполнение работ по среднему ремонту </w:t>
            </w:r>
            <w:r>
              <w:rPr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  <w:t xml:space="preserve">турбогенератора №1  Благовещенской ТЭЦ г. Благовещенск.</w:t>
            </w:r>
            <w:r>
              <w:rPr>
                <w:b w:val="0"/>
                <w:sz w:val="24"/>
                <w:szCs w:val="24"/>
              </w:rPr>
              <w:t xml:space="preserve">».</w:t>
            </w:r>
            <w:r>
              <w:rPr>
                <w:b w:val="0"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pStyle w:val="835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ведомостями объемов работ (Приложение №1.1-1.2. к настоящим Техническим требованиям)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838"/>
        <w:numPr>
          <w:ilvl w:val="0"/>
          <w:numId w:val="0"/>
        </w:numPr>
        <w:ind w:left="360" w:firstLine="0"/>
      </w:pPr>
      <w:r/>
      <w:r/>
    </w:p>
    <w:p>
      <w:pPr>
        <w:pStyle w:val="838"/>
        <w:numPr>
          <w:ilvl w:val="0"/>
          <w:numId w:val="0"/>
        </w:numPr>
        <w:ind w:left="360" w:firstLine="0"/>
      </w:pPr>
      <w:r>
        <w:t xml:space="preserve">2.1.1 </w:t>
      </w:r>
      <w:bookmarkStart w:id="17" w:name="_Toc51339696"/>
      <w:r/>
      <w:bookmarkStart w:id="18" w:name="_Toc54646407"/>
      <w:r/>
      <w:bookmarkStart w:id="19" w:name="_Toc50125131"/>
      <w:r/>
      <w:bookmarkEnd w:id="9"/>
      <w:r/>
      <w:bookmarkEnd w:id="11"/>
      <w:r>
        <w:t xml:space="preserve">Требования </w:t>
      </w:r>
      <w:bookmarkEnd w:id="17"/>
      <w:r>
        <w:t xml:space="preserve">к срокам выполнения работ</w:t>
      </w:r>
      <w:bookmarkEnd w:id="18"/>
      <w:r/>
      <w:r/>
    </w:p>
    <w:p>
      <w:pPr>
        <w:pStyle w:val="836"/>
        <w:ind w:left="0" w:firstLine="0"/>
        <w:keepLines/>
        <w:spacing w:before="240" w:after="60"/>
        <w:rPr>
          <w:sz w:val="24"/>
          <w:szCs w:val="24"/>
        </w:rPr>
      </w:pPr>
      <w:r/>
      <w:bookmarkStart w:id="20" w:name="_Toc54646408"/>
      <w:r/>
      <w:bookmarkStart w:id="21" w:name="_Toc50125127"/>
      <w:r/>
      <w:bookmarkStart w:id="22" w:name="_Toc51339697"/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Таблица 3. </w:t>
      </w:r>
      <w:bookmarkStart w:id="23" w:name="_Hlk50465284"/>
      <w:r>
        <w:rPr>
          <w:sz w:val="24"/>
          <w:szCs w:val="24"/>
        </w:rPr>
        <w:t xml:space="preserve">Требования по срокам </w:t>
      </w:r>
      <w:bookmarkEnd w:id="21"/>
      <w:r/>
      <w:bookmarkEnd w:id="22"/>
      <w:r/>
      <w:bookmarkEnd w:id="23"/>
      <w:r>
        <w:rPr>
          <w:sz w:val="24"/>
          <w:szCs w:val="24"/>
        </w:rPr>
        <w:t xml:space="preserve">выполнения работ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7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6"/>
        <w:gridCol w:w="3970"/>
        <w:gridCol w:w="2409"/>
        <w:gridCol w:w="2690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3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spacing w:before="40" w:after="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spacing w:before="40" w:after="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835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pStyle w:val="835"/>
              <w:keepLines/>
              <w:keepNext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  <w:t xml:space="preserve">«</w:t>
            </w:r>
            <w:r>
              <w:rPr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  <w:t xml:space="preserve">ОКПД2 33.14.19.000 Выполнение работ по среднему ремонту </w:t>
            </w:r>
            <w:r>
              <w:rPr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  <w:t xml:space="preserve">турбогенератора №1  Благовещенской ТЭЦ г. Благовещенск.</w:t>
            </w:r>
            <w:r>
              <w:rPr>
                <w:b w:val="0"/>
                <w:sz w:val="24"/>
                <w:szCs w:val="24"/>
              </w:rPr>
              <w:t xml:space="preserve">».</w:t>
            </w:r>
            <w:r>
              <w:rPr>
                <w:b w:val="0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bCs/>
                <w:sz w:val="24"/>
                <w:szCs w:val="24"/>
              </w:rPr>
            </w:r>
          </w:p>
          <w:p>
            <w:pPr>
              <w:pStyle w:val="83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31 мая 2026г.</w:t>
            </w: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835"/>
              <w:jc w:val="center"/>
              <w:rPr>
                <w:bCs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29 августа 2026г.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</w:tc>
      </w:tr>
    </w:tbl>
    <w:p>
      <w:pPr>
        <w:sectPr>
          <w:headerReference w:type="default" r:id="rId9"/>
          <w:headerReference w:type="even" r:id="rId10"/>
          <w:footerReference w:type="default" r:id="rId15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1701" w:equalWidth="1"/>
          <w:docGrid w:linePitch="360"/>
          <w:titlePg/>
        </w:sectPr>
      </w:pPr>
      <w:r/>
      <w:r/>
    </w:p>
    <w:p>
      <w:pPr>
        <w:pStyle w:val="839"/>
        <w:ind w:left="360" w:firstLine="0"/>
        <w:tabs>
          <w:tab w:val="clear" w:pos="1440" w:leader="none"/>
        </w:tabs>
      </w:pPr>
      <w:r>
        <w:t xml:space="preserve">2.2</w:t>
      </w:r>
      <w:bookmarkStart w:id="24" w:name="_Toc54646410"/>
      <w:r/>
      <w:bookmarkStart w:id="25" w:name="_Toc51339698"/>
      <w:r>
        <w:t xml:space="preserve"> Требования к качеству работ</w:t>
      </w:r>
      <w:r/>
    </w:p>
    <w:p>
      <w:pPr>
        <w:pStyle w:val="836"/>
        <w:ind w:left="0" w:firstLine="0"/>
        <w:keepLines/>
        <w:spacing w:before="240" w:after="60"/>
        <w:rPr>
          <w:sz w:val="24"/>
          <w:szCs w:val="24"/>
        </w:rPr>
      </w:pPr>
      <w:r>
        <w:rPr>
          <w:sz w:val="24"/>
          <w:szCs w:val="24"/>
        </w:rPr>
        <w:t xml:space="preserve">Таблица 4. Требования к </w:t>
      </w:r>
      <w:bookmarkEnd w:id="19"/>
      <w:r/>
      <w:bookmarkEnd w:id="25"/>
      <w:r>
        <w:rPr>
          <w:sz w:val="24"/>
          <w:szCs w:val="24"/>
        </w:rPr>
        <w:t xml:space="preserve">качеству работ</w:t>
      </w:r>
      <w:bookmarkEnd w:id="24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6"/>
        <w:ind w:left="0" w:firstLine="0"/>
        <w:keepLines/>
        <w:spacing w:before="240" w:after="6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rPr>
          <w:rFonts w:eastAsia="Calibri"/>
          <w:iCs/>
          <w:sz w:val="24"/>
          <w:szCs w:val="24"/>
          <w:highlight w:val="none"/>
          <w:shd w:val="clear" w:color="auto" w:fill="ffff99"/>
        </w:rPr>
      </w:pPr>
      <w:r>
        <w:rPr>
          <w:b/>
          <w:bCs/>
          <w:color w:val="000000" w:themeColor="text1"/>
          <w:sz w:val="24"/>
          <w:szCs w:val="24"/>
        </w:rPr>
        <w:t xml:space="preserve">Наименование работ: </w:t>
      </w:r>
      <w:r>
        <w:rPr>
          <w:b w:val="0"/>
          <w:sz w:val="24"/>
          <w:szCs w:val="24"/>
        </w:rPr>
        <w:t xml:space="preserve">«</w:t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ОКПД2 33.14.19.000 Выполнение работ по среднему ремонту </w:t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турбогенератора №1  Благовещенской ТЭЦ г. Благовещенск.</w:t>
      </w:r>
      <w:r>
        <w:rPr>
          <w:b w:val="0"/>
          <w:sz w:val="24"/>
          <w:szCs w:val="24"/>
        </w:rPr>
        <w:t xml:space="preserve">».</w:t>
      </w:r>
      <w:r>
        <w:rPr>
          <w:b w:val="0"/>
          <w:i/>
          <w:iCs/>
          <w:sz w:val="24"/>
          <w:szCs w:val="24"/>
        </w:rPr>
        <w:t xml:space="preserve"> </w:t>
      </w:r>
      <w:r>
        <w:rPr>
          <w:rFonts w:eastAsia="Calibri"/>
          <w:iCs/>
          <w:sz w:val="24"/>
          <w:szCs w:val="24"/>
          <w:highlight w:val="none"/>
          <w:shd w:val="clear" w:color="auto" w:fill="ffff99"/>
        </w:rPr>
      </w:r>
      <w:r>
        <w:rPr>
          <w:rFonts w:eastAsia="Calibri"/>
          <w:iCs/>
          <w:sz w:val="24"/>
          <w:szCs w:val="24"/>
          <w:highlight w:val="none"/>
          <w:shd w:val="clear" w:color="auto" w:fill="ffff99"/>
        </w:rPr>
      </w:r>
    </w:p>
    <w:p>
      <w:pPr>
        <w:pStyle w:val="835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tbl>
      <w:tblPr>
        <w:tblpPr w:horzAnchor="text" w:tblpXSpec="left" w:vertAnchor="text" w:tblpY="1" w:leftFromText="180" w:topFromText="0" w:rightFromText="180" w:bottomFromText="0"/>
        <w:tblW w:w="14884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275"/>
        <w:gridCol w:w="2267"/>
        <w:gridCol w:w="7652"/>
        <w:gridCol w:w="1844"/>
        <w:gridCol w:w="184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 xml:space="preserve">п/п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параметра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2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Требование заказчика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pStyle w:val="83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pStyle w:val="83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2" w:type="dxa"/>
            <w:vAlign w:val="center"/>
            <w:textDirection w:val="lrTb"/>
            <w:noWrap w:val="false"/>
          </w:tcPr>
          <w:p>
            <w:pPr>
              <w:pStyle w:val="83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2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9" w:type="dxa"/>
            <w:vAlign w:val="center"/>
            <w:textDirection w:val="lrTb"/>
            <w:noWrap w:val="false"/>
          </w:tcPr>
          <w:p>
            <w:pPr>
              <w:pStyle w:val="8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выполнению работ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8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1.1.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9" w:type="dxa"/>
            <w:vAlign w:val="center"/>
            <w:textDirection w:val="lrTb"/>
            <w:noWrap w:val="false"/>
          </w:tcPr>
          <w:p>
            <w:pPr>
              <w:pStyle w:val="835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jc w:val="center"/>
              <w:rPr>
                <w:bCs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2" w:type="dxa"/>
            <w:textDirection w:val="lrTb"/>
            <w:noWrap w:val="false"/>
          </w:tcPr>
          <w:p>
            <w:pPr>
              <w:pStyle w:val="955"/>
              <w:contextualSpacing/>
              <w:ind w:left="0" w:firstLine="0"/>
              <w:jc w:val="both"/>
              <w:spacing w:before="0" w:after="0"/>
              <w:widowControl/>
              <w:tabs>
                <w:tab w:val="left" w:pos="182" w:leader="none"/>
                <w:tab w:val="left" w:pos="413" w:leader="none"/>
                <w:tab w:val="clear" w:pos="708" w:leader="none"/>
              </w:tabs>
              <w:rPr>
                <w:rFonts w:eastAsia="Times New Roman"/>
                <w:i w:val="0"/>
                <w:iCs w:val="0"/>
                <w:sz w:val="24"/>
                <w:szCs w:val="24"/>
              </w:rPr>
            </w:pPr>
            <w:r>
              <w:rPr>
                <w:rFonts w:eastAsia="Times New Roman"/>
                <w:i w:val="0"/>
                <w:iCs w:val="0"/>
                <w:sz w:val="24"/>
                <w:szCs w:val="24"/>
                <w:lang w:val="ru-RU" w:eastAsia="en-US" w:bidi="ar-SA"/>
              </w:rPr>
      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rFonts w:eastAsia="Times New Roman"/>
                <w:i w:val="0"/>
                <w:iCs w:val="0"/>
                <w:sz w:val="24"/>
                <w:szCs w:val="24"/>
                <w:lang w:val="ru-RU" w:eastAsia="en-US" w:bidi="ar-SA"/>
              </w:rPr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</w:r>
          </w:p>
          <w:p>
            <w:pPr>
              <w:pStyle w:val="955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/>
              <w:tabs>
                <w:tab w:val="left" w:pos="256" w:leader="none"/>
                <w:tab w:val="clear" w:pos="708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i w:val="0"/>
                <w:iCs w:val="0"/>
                <w:sz w:val="24"/>
                <w:szCs w:val="24"/>
                <w:lang w:val="ru-RU" w:eastAsia="ru-RU" w:bidi="ar-SA"/>
              </w:rPr>
              <w:t xml:space="preserve">положение «Об организации и выполнению технического обслуживания и ремонта оборудования АО «ДГК»» №21-002-2019 (приказ АО «ДГК» от 29.11.2019г. №555);</w:t>
            </w:r>
            <w:r>
              <w:rPr>
                <w:i w:val="0"/>
                <w:iCs w:val="0"/>
                <w:sz w:val="24"/>
                <w:szCs w:val="24"/>
                <w:lang w:val="ru-RU" w:eastAsia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955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/>
              <w:tabs>
                <w:tab w:val="left" w:pos="256" w:leader="none"/>
                <w:tab w:val="clear" w:pos="708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i w:val="0"/>
                <w:iCs w:val="0"/>
                <w:sz w:val="24"/>
                <w:szCs w:val="24"/>
                <w:lang w:val="ru-RU" w:eastAsia="ru-RU" w:bidi="ar-SA"/>
              </w:rPr>
              <w:t xml:space="preserve">СТО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 (приказ АО «ДГК» от 18.01.2022г. №19</w:t>
            </w:r>
            <w:r>
              <w:rPr>
                <w:i w:val="0"/>
                <w:iCs w:val="0"/>
                <w:sz w:val="24"/>
                <w:szCs w:val="24"/>
                <w:lang w:val="ru-RU" w:eastAsia="ru-RU" w:bidi="ar-SA"/>
              </w:rPr>
              <w:t xml:space="preserve">);</w:t>
            </w:r>
            <w:r>
              <w:rPr>
                <w:i w:val="0"/>
                <w:iCs w:val="0"/>
                <w:sz w:val="24"/>
                <w:szCs w:val="24"/>
                <w:lang w:val="ru-RU" w:eastAsia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955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/>
              <w:tabs>
                <w:tab w:val="left" w:pos="256" w:leader="none"/>
                <w:tab w:val="clear" w:pos="708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i w:val="0"/>
                <w:iCs w:val="0"/>
                <w:sz w:val="24"/>
                <w:szCs w:val="24"/>
                <w:lang w:val="ru-RU" w:eastAsia="ru-RU" w:bidi="ar-SA"/>
              </w:rPr>
              <w:t xml:space="preserve">СТО 17330282.27.100.006-2008 «Ремонт и техобслуживание оборудования, зданий и сооружений электрических станций и сетей. Условия выполнения работ подрядными организациями, нормы и требования»;</w:t>
            </w:r>
            <w:r>
              <w:rPr>
                <w:i w:val="0"/>
                <w:iCs w:val="0"/>
                <w:sz w:val="24"/>
                <w:szCs w:val="24"/>
                <w:lang w:val="ru-RU" w:eastAsia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955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/>
              <w:tabs>
                <w:tab w:val="left" w:pos="256" w:leader="none"/>
                <w:tab w:val="clear" w:pos="708" w:leader="none"/>
              </w:tabs>
              <w:rPr>
                <w:i w:val="0"/>
                <w:iCs w:val="0"/>
                <w:lang w:val="ru-RU" w:eastAsia="ru-RU" w:bidi="ar-SA"/>
              </w:rPr>
            </w:pPr>
            <w:r>
              <w:rPr>
                <w:i w:val="0"/>
                <w:iCs w:val="0"/>
                <w:lang w:val="ru-RU" w:eastAsia="ru-RU" w:bidi="ar-SA"/>
              </w:rPr>
              <w:t xml:space="preserve">методические указания по организации технического обслуживания и ремонта основного и вспомогательного оборудования, зданий и сооружений тепловых электростанций (приказ АО «ДГК» от 12.10.2022г. №587) (приложение №5)</w:t>
            </w:r>
            <w:r>
              <w:rPr>
                <w:i w:val="0"/>
                <w:iCs w:val="0"/>
                <w:lang w:val="ru-RU" w:eastAsia="ru-RU" w:bidi="ar-SA"/>
              </w:rPr>
            </w:r>
            <w:r>
              <w:rPr>
                <w:i w:val="0"/>
                <w:iCs w:val="0"/>
                <w:lang w:val="ru-RU" w:eastAsia="ru-RU" w:bidi="ar-SA"/>
              </w:rPr>
            </w:r>
          </w:p>
          <w:p>
            <w:pPr>
              <w:pStyle w:val="955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/>
              <w:tabs>
                <w:tab w:val="left" w:pos="256" w:leader="none"/>
                <w:tab w:val="clear" w:pos="708" w:leader="none"/>
              </w:tabs>
              <w:rPr>
                <w:i w:val="0"/>
                <w:iCs w:val="0"/>
                <w:lang w:val="ru-RU" w:bidi="ar-SA"/>
              </w:rPr>
            </w:pPr>
            <w:r>
              <w:rPr>
                <w:i w:val="0"/>
                <w:iCs w:val="0"/>
                <w:sz w:val="24"/>
                <w:szCs w:val="24"/>
                <w:lang w:val="ru-RU" w:eastAsia="en-US" w:bidi="ar-SA"/>
              </w:rPr>
              <w:t xml:space="preserve">правила технической эксплуатации электрических станций и сетей (утв. Приказом Минэнерго России  от 04.10.2022 №1070);</w:t>
            </w:r>
            <w:r>
              <w:rPr>
                <w:i w:val="0"/>
                <w:iCs w:val="0"/>
                <w:lang w:val="ru-RU" w:bidi="ar-SA"/>
              </w:rPr>
            </w:r>
            <w:r>
              <w:rPr>
                <w:i w:val="0"/>
                <w:iCs w:val="0"/>
                <w:lang w:val="ru-RU" w:bidi="ar-SA"/>
              </w:rPr>
            </w:r>
          </w:p>
          <w:p>
            <w:pPr>
              <w:pStyle w:val="955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/>
              <w:tabs>
                <w:tab w:val="left" w:pos="256" w:leader="none"/>
                <w:tab w:val="clear" w:pos="708" w:leader="none"/>
              </w:tabs>
              <w:rPr>
                <w:i w:val="0"/>
                <w:iCs w:val="0"/>
                <w:lang w:val="ru-RU" w:bidi="ar-SA"/>
              </w:rPr>
            </w:pPr>
            <w:r>
              <w:rPr>
                <w:i w:val="0"/>
                <w:iCs w:val="0"/>
                <w:sz w:val="24"/>
                <w:szCs w:val="24"/>
                <w:lang w:val="ru-RU" w:eastAsia="en-US" w:bidi="ar-SA"/>
              </w:rPr>
              <w:t xml:space="preserve">правила организации технического  обслуживания и ремонта объектов электроэнергетики (Утв. Приказом Минэнерго Росси от 25.10.2017г, №1013);</w:t>
            </w:r>
            <w:r>
              <w:rPr>
                <w:i w:val="0"/>
                <w:iCs w:val="0"/>
                <w:lang w:val="ru-RU" w:bidi="ar-SA"/>
              </w:rPr>
            </w:r>
            <w:r>
              <w:rPr>
                <w:i w:val="0"/>
                <w:iCs w:val="0"/>
                <w:lang w:val="ru-RU" w:bidi="ar-SA"/>
              </w:rPr>
            </w:r>
          </w:p>
          <w:p>
            <w:pPr>
              <w:pStyle w:val="955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/>
              <w:tabs>
                <w:tab w:val="left" w:pos="256" w:leader="none"/>
                <w:tab w:val="clear" w:pos="708" w:leader="none"/>
              </w:tabs>
              <w:rPr>
                <w:i w:val="0"/>
                <w:iCs w:val="0"/>
                <w:lang w:val="ru-RU" w:eastAsia="ru-RU" w:bidi="ar-SA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 </w:t>
            </w: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РД 34.45-51.300-97. Объем и нормы испытаний электрооборудования;</w:t>
            </w:r>
            <w:r>
              <w:rPr>
                <w:i w:val="0"/>
                <w:iCs w:val="0"/>
                <w:lang w:val="ru-RU" w:eastAsia="ru-RU" w:bidi="ar-SA"/>
              </w:rPr>
            </w:r>
            <w:r>
              <w:rPr>
                <w:i w:val="0"/>
                <w:iCs w:val="0"/>
                <w:lang w:val="ru-RU" w:eastAsia="ru-RU" w:bidi="ar-SA"/>
              </w:rPr>
            </w:r>
          </w:p>
          <w:p>
            <w:pPr>
              <w:pStyle w:val="955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/>
              <w:tabs>
                <w:tab w:val="left" w:pos="256" w:leader="none"/>
                <w:tab w:val="clear" w:pos="708" w:leader="none"/>
              </w:tabs>
              <w:rPr>
                <w:i w:val="0"/>
                <w:iCs w:val="0"/>
                <w:lang w:val="ru-RU" w:eastAsia="ru-RU" w:bidi="ar-SA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СО 153-34.45.513-07.Руководство по повышению надежности эксплуатации бандажных узлов роторов  турбогенераторов;</w:t>
            </w:r>
            <w:r>
              <w:rPr>
                <w:i w:val="0"/>
                <w:iCs w:val="0"/>
                <w:lang w:val="ru-RU" w:eastAsia="ru-RU" w:bidi="ar-SA"/>
              </w:rPr>
            </w:r>
            <w:r>
              <w:rPr>
                <w:i w:val="0"/>
                <w:iCs w:val="0"/>
                <w:lang w:val="ru-RU" w:eastAsia="ru-RU" w:bidi="ar-SA"/>
              </w:rPr>
            </w:r>
          </w:p>
          <w:p>
            <w:pPr>
              <w:pStyle w:val="955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/>
              <w:tabs>
                <w:tab w:val="left" w:pos="256" w:leader="none"/>
                <w:tab w:val="clear" w:pos="708" w:leader="none"/>
              </w:tabs>
              <w:rPr>
                <w:i w:val="0"/>
                <w:iCs w:val="0"/>
                <w:lang w:val="ru-RU" w:eastAsia="ru-RU" w:bidi="ar-SA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 </w:t>
            </w: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РД 153-34.0-45.510-98.Типовая инструкция по эксплуатации и ремонту узла контактных колец и щеточного аппарата турбогенераторов мощностью 63 МВт и выше;</w:t>
            </w:r>
            <w:r>
              <w:rPr>
                <w:i w:val="0"/>
                <w:iCs w:val="0"/>
                <w:lang w:val="ru-RU" w:eastAsia="ru-RU" w:bidi="ar-SA"/>
              </w:rPr>
            </w:r>
            <w:r>
              <w:rPr>
                <w:i w:val="0"/>
                <w:iCs w:val="0"/>
                <w:lang w:val="ru-RU" w:eastAsia="ru-RU" w:bidi="ar-SA"/>
              </w:rPr>
            </w:r>
          </w:p>
          <w:p>
            <w:pPr>
              <w:pStyle w:val="955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/>
              <w:tabs>
                <w:tab w:val="left" w:pos="256" w:leader="none"/>
                <w:tab w:val="clear" w:pos="708" w:leader="none"/>
              </w:tabs>
              <w:rPr>
                <w:i w:val="0"/>
                <w:iCs w:val="0"/>
                <w:lang w:val="ru-RU" w:eastAsia="ru-RU" w:bidi="ar-SA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ТУ 34-38-20246-95.Турбогенераторы. Общие технические условия на капитальный ремонт;</w:t>
            </w:r>
            <w:r>
              <w:rPr>
                <w:i w:val="0"/>
                <w:iCs w:val="0"/>
                <w:lang w:val="ru-RU" w:eastAsia="ru-RU" w:bidi="ar-SA"/>
              </w:rPr>
            </w:r>
            <w:r>
              <w:rPr>
                <w:i w:val="0"/>
                <w:iCs w:val="0"/>
                <w:lang w:val="ru-RU" w:eastAsia="ru-RU" w:bidi="ar-SA"/>
              </w:rPr>
            </w:r>
          </w:p>
          <w:p>
            <w:pPr>
              <w:pStyle w:val="955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/>
              <w:tabs>
                <w:tab w:val="left" w:pos="256" w:leader="none"/>
                <w:tab w:val="clear" w:pos="708" w:leader="none"/>
              </w:tabs>
              <w:rPr>
                <w:i w:val="0"/>
                <w:iCs w:val="0"/>
                <w:lang w:val="ru-RU" w:bidi="ar-SA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  <w:lang w:val="ru-RU" w:eastAsia="en-US" w:bidi="ar-SA"/>
              </w:rPr>
              <w:t xml:space="preserve">ОСТ 34-38-445-87. Система технического обслуживания и ремонт оборудования электростанций;</w:t>
            </w:r>
            <w:r>
              <w:rPr>
                <w:i w:val="0"/>
                <w:iCs w:val="0"/>
                <w:lang w:val="ru-RU" w:bidi="ar-SA"/>
              </w:rPr>
            </w:r>
            <w:r>
              <w:rPr>
                <w:i w:val="0"/>
                <w:iCs w:val="0"/>
                <w:lang w:val="ru-RU" w:bidi="ar-SA"/>
              </w:rPr>
            </w:r>
          </w:p>
          <w:p>
            <w:pPr>
              <w:pStyle w:val="955"/>
              <w:numPr>
                <w:ilvl w:val="0"/>
                <w:numId w:val="7"/>
              </w:numPr>
              <w:contextualSpacing/>
              <w:ind w:left="0" w:firstLine="0"/>
              <w:jc w:val="both"/>
              <w:spacing w:before="0" w:after="0"/>
              <w:widowControl/>
              <w:tabs>
                <w:tab w:val="left" w:pos="256" w:leader="none"/>
                <w:tab w:val="clear" w:pos="708" w:leader="none"/>
              </w:tabs>
              <w:rPr>
                <w:i w:val="0"/>
                <w:iCs w:val="0"/>
                <w:lang w:val="ru-RU" w:eastAsia="ru-RU" w:bidi="ar-SA"/>
              </w:rPr>
            </w:pPr>
            <w:r>
              <w:rPr>
                <w:i w:val="0"/>
                <w:iCs w:val="0"/>
                <w:sz w:val="24"/>
                <w:szCs w:val="24"/>
                <w:lang w:val="ru-RU" w:eastAsia="ru-RU" w:bidi="ar-SA"/>
              </w:rPr>
              <w:t xml:space="preserve">Производственными инструкциями и    проектами производства работ;</w:t>
            </w:r>
            <w:r>
              <w:rPr>
                <w:i w:val="0"/>
                <w:iCs w:val="0"/>
                <w:lang w:val="ru-RU" w:eastAsia="ru-RU" w:bidi="ar-SA"/>
              </w:rPr>
            </w:r>
            <w:r>
              <w:rPr>
                <w:i w:val="0"/>
                <w:iCs w:val="0"/>
                <w:lang w:val="ru-RU" w:eastAsia="ru-RU" w:bidi="ar-SA"/>
              </w:rPr>
            </w:r>
          </w:p>
          <w:p>
            <w:pPr>
              <w:pStyle w:val="835"/>
              <w:jc w:val="both"/>
              <w:spacing w:before="0" w:after="0"/>
              <w:widowControl/>
              <w:rPr>
                <w:i w:val="0"/>
                <w:iCs w:val="0"/>
                <w:sz w:val="24"/>
                <w:szCs w:val="24"/>
                <w:lang w:val="ru-RU" w:bidi="ar-SA"/>
              </w:rPr>
            </w:pPr>
            <w:r>
              <w:rPr>
                <w:i w:val="0"/>
                <w:iCs w:val="0"/>
                <w:sz w:val="24"/>
                <w:szCs w:val="24"/>
                <w:lang w:val="ru-RU" w:eastAsia="en-US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835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rStyle w:val="896"/>
                <w:b w:val="0"/>
                <w:bCs/>
                <w:color w:val="000000" w:themeColor="text1"/>
                <w:sz w:val="20"/>
                <w:szCs w:val="20"/>
                <w:shd w:val="clear" w:color="auto" w:fill="auto"/>
              </w:rPr>
            </w:r>
            <w:r>
              <w:rPr>
                <w:i/>
                <w:sz w:val="22"/>
                <w:szCs w:val="22"/>
                <w:lang w:val="ru-RU" w:eastAsia="ru-RU" w:bidi="ar-SA"/>
              </w:rPr>
              <w:t xml:space="preserve">Согласие с требованием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sz w:val="22"/>
                <w:szCs w:val="22"/>
              </w:rPr>
              <w:outlineLvl w:val="2"/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sz w:val="22"/>
                <w:szCs w:val="22"/>
              </w:rPr>
              <w:outlineLvl w:val="2"/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sz w:val="22"/>
                <w:szCs w:val="22"/>
              </w:rPr>
              <w:outlineLvl w:val="2"/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sz w:val="22"/>
                <w:szCs w:val="22"/>
              </w:rPr>
              <w:outlineLvl w:val="2"/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sz w:val="22"/>
                <w:szCs w:val="22"/>
              </w:rPr>
              <w:outlineLvl w:val="2"/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sz w:val="22"/>
                <w:szCs w:val="22"/>
              </w:rPr>
              <w:outlineLvl w:val="2"/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sz w:val="22"/>
                <w:szCs w:val="22"/>
              </w:rPr>
              <w:outlineLvl w:val="2"/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835"/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b/>
                <w:sz w:val="22"/>
                <w:szCs w:val="22"/>
              </w:rPr>
              <w:t xml:space="preserve">//-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sz w:val="22"/>
                <w:szCs w:val="22"/>
              </w:rPr>
              <w:outlineLvl w:val="2"/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sz w:val="22"/>
                <w:szCs w:val="22"/>
              </w:rPr>
              <w:outlineLvl w:val="2"/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1.2.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9" w:type="dxa"/>
            <w:vAlign w:val="center"/>
            <w:textDirection w:val="lrTb"/>
            <w:noWrap w:val="false"/>
          </w:tcPr>
          <w:p>
            <w:pPr>
              <w:pStyle w:val="835"/>
              <w:spacing w:before="6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организации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7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организации процесса выполнения работ</w:t>
            </w:r>
            <w:r>
              <w:rPr>
                <w:i/>
                <w:sz w:val="24"/>
                <w:szCs w:val="24"/>
              </w:rPr>
              <w:t xml:space="preserve">: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2" w:type="dxa"/>
            <w:textDirection w:val="lrTb"/>
            <w:noWrap w:val="false"/>
          </w:tcPr>
          <w:p>
            <w:pPr>
              <w:pStyle w:val="835"/>
              <w:jc w:val="both"/>
              <w:spacing w:before="0" w:after="0"/>
              <w:widowControl/>
              <w:rPr>
                <w:i w:val="0"/>
                <w:iCs w:val="0"/>
                <w:lang w:val="ru-RU" w:bidi="ar-SA"/>
              </w:rPr>
            </w:pPr>
            <w:r>
              <w:rPr>
                <w:i w:val="0"/>
                <w:iCs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i w:val="0"/>
                <w:iCs w:val="0"/>
                <w:sz w:val="24"/>
                <w:szCs w:val="24"/>
                <w:lang w:val="ru-RU" w:eastAsia="en-US" w:bidi="ar-SA"/>
              </w:rPr>
              <w:t xml:space="preserve">Комплекс организационно–технических мероприятий, выпол</w:t>
            </w:r>
            <w:r>
              <w:rPr>
                <w:i w:val="0"/>
                <w:iCs w:val="0"/>
                <w:sz w:val="24"/>
                <w:szCs w:val="24"/>
                <w:lang w:val="ru-RU" w:eastAsia="en-US" w:bidi="ar-SA"/>
              </w:rPr>
              <w:t xml:space="preserve">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 и отремонтированных объектов, оптимальное расходование материально-технических и трудовые ресурсов. И</w:t>
            </w:r>
            <w:r>
              <w:rPr>
                <w:i w:val="0"/>
                <w:iCs w:val="0"/>
                <w:sz w:val="24"/>
                <w:szCs w:val="24"/>
                <w:lang w:val="ru-RU" w:eastAsia="en-US" w:bidi="ar-SA"/>
              </w:rPr>
              <w:t xml:space="preserve">сполнители ремонта разрабатывают проект производства работ, планы подготовки к ремонту в соответствии с планами производственных объектов, принятыми к исполнению объемами работ и согласованным участием в материально–техническом обеспечении ремонтных работ.</w:t>
            </w:r>
            <w:r>
              <w:rPr>
                <w:i w:val="0"/>
                <w:iCs w:val="0"/>
                <w:lang w:val="ru-RU" w:bidi="ar-SA"/>
              </w:rPr>
            </w:r>
            <w:r>
              <w:rPr>
                <w:i w:val="0"/>
                <w:iCs w:val="0"/>
                <w:lang w:val="ru-RU" w:bidi="ar-SA"/>
              </w:rPr>
            </w:r>
          </w:p>
          <w:p>
            <w:pPr>
              <w:pStyle w:val="835"/>
              <w:jc w:val="both"/>
              <w:spacing w:before="0" w:after="0"/>
              <w:widowControl/>
              <w:rPr>
                <w:i w:val="0"/>
                <w:iCs w:val="0"/>
                <w:lang w:val="ru-RU" w:bidi="ar-SA"/>
              </w:rPr>
            </w:pPr>
            <w:r>
              <w:rPr>
                <w:i w:val="0"/>
                <w:iCs w:val="0"/>
                <w:sz w:val="24"/>
                <w:szCs w:val="24"/>
                <w:lang w:val="ru-RU" w:eastAsia="en-US" w:bidi="ar-SA"/>
              </w:rPr>
              <w:t xml:space="preserve">Изменения объемов работ, предусмотренных ведомостью планируемых работ, оформляются в соответств</w:t>
            </w:r>
            <w:r>
              <w:rPr>
                <w:i w:val="0"/>
                <w:iCs w:val="0"/>
                <w:sz w:val="24"/>
                <w:szCs w:val="24"/>
                <w:lang w:val="ru-RU" w:eastAsia="en-US" w:bidi="ar-SA"/>
              </w:rPr>
              <w:t xml:space="preserve">ии с требованиями Правил ТОиР (ведомостью дополнительных работ по ремонту и протоколом исключения работ из ведомости планируемых работ по ремонту), согласовываются с исполнителями и утверждаются техническим руководителем структурного подразделения, ответст</w:t>
            </w:r>
            <w:r>
              <w:rPr>
                <w:i w:val="0"/>
                <w:iCs w:val="0"/>
                <w:sz w:val="24"/>
                <w:szCs w:val="24"/>
                <w:lang w:val="ru-RU" w:eastAsia="en-US" w:bidi="ar-SA"/>
              </w:rPr>
              <w:t xml:space="preserve">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непосредственную эксплуатацию производственного объекта, определяется условиями договора.</w:t>
            </w:r>
            <w:r>
              <w:rPr>
                <w:i w:val="0"/>
                <w:iCs w:val="0"/>
                <w:lang w:val="ru-RU" w:bidi="ar-SA"/>
              </w:rPr>
            </w:r>
            <w:r>
              <w:rPr>
                <w:i w:val="0"/>
                <w:iCs w:val="0"/>
                <w:lang w:val="ru-RU" w:bidi="ar-SA"/>
              </w:rPr>
            </w:r>
          </w:p>
          <w:p>
            <w:pPr>
              <w:pStyle w:val="835"/>
              <w:jc w:val="both"/>
              <w:spacing w:before="0" w:after="0"/>
              <w:widowControl/>
              <w:rPr>
                <w:i w:val="0"/>
                <w:iCs w:val="0"/>
                <w:lang w:val="ru-RU" w:bidi="ar-SA"/>
              </w:rPr>
            </w:pPr>
            <w:r>
              <w:rPr>
                <w:i w:val="0"/>
                <w:iCs w:val="0"/>
                <w:sz w:val="24"/>
                <w:szCs w:val="24"/>
                <w:lang w:val="ru-RU" w:eastAsia="en-US" w:bidi="ar-SA"/>
              </w:rPr>
              <w:t xml:space="preserve">До начала ремонта Подрядчик:</w:t>
            </w:r>
            <w:r>
              <w:rPr>
                <w:i w:val="0"/>
                <w:iCs w:val="0"/>
                <w:lang w:val="ru-RU" w:bidi="ar-SA"/>
              </w:rPr>
            </w:r>
            <w:r>
              <w:rPr>
                <w:i w:val="0"/>
                <w:iCs w:val="0"/>
                <w:lang w:val="ru-RU" w:bidi="ar-SA"/>
              </w:rPr>
            </w:r>
          </w:p>
          <w:p>
            <w:pPr>
              <w:pStyle w:val="835"/>
              <w:jc w:val="both"/>
              <w:spacing w:before="0" w:after="0"/>
              <w:widowControl/>
              <w:rPr>
                <w:i w:val="0"/>
                <w:iCs w:val="0"/>
                <w:lang w:val="ru-RU" w:bidi="ar-SA"/>
              </w:rPr>
            </w:pPr>
            <w:r>
              <w:rPr>
                <w:i w:val="0"/>
                <w:iCs w:val="0"/>
                <w:sz w:val="24"/>
                <w:szCs w:val="24"/>
                <w:lang w:val="ru-RU" w:eastAsia="en-US" w:bidi="ar-SA"/>
              </w:rPr>
              <w:t xml:space="preserve">- разрабатывает и </w:t>
            </w: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согласовывает проект производства работ с Заказчиком в части обеспечения условий безопасного производства работ, в том числе персоналом субподрядных организаций</w:t>
            </w:r>
            <w:r>
              <w:rPr>
                <w:i w:val="0"/>
                <w:iCs w:val="0"/>
                <w:sz w:val="24"/>
                <w:szCs w:val="24"/>
                <w:lang w:val="ru-RU" w:eastAsia="ru-RU" w:bidi="ar-SA"/>
              </w:rPr>
              <w:t xml:space="preserve">;</w:t>
            </w:r>
            <w:r>
              <w:rPr>
                <w:i w:val="0"/>
                <w:iCs w:val="0"/>
                <w:lang w:val="ru-RU" w:bidi="ar-SA"/>
              </w:rPr>
            </w:r>
            <w:r>
              <w:rPr>
                <w:i w:val="0"/>
                <w:iCs w:val="0"/>
                <w:lang w:val="ru-RU" w:bidi="ar-SA"/>
              </w:rPr>
            </w:r>
          </w:p>
          <w:p>
            <w:pPr>
              <w:pStyle w:val="835"/>
              <w:jc w:val="both"/>
              <w:spacing w:before="0" w:after="0"/>
              <w:widowControl/>
              <w:rPr>
                <w:i w:val="0"/>
                <w:iCs w:val="0"/>
                <w:lang w:val="ru-RU" w:bidi="ar-SA"/>
              </w:rPr>
            </w:pPr>
            <w:r>
              <w:rPr>
                <w:i w:val="0"/>
                <w:iCs w:val="0"/>
                <w:sz w:val="24"/>
                <w:szCs w:val="24"/>
                <w:lang w:val="ru-RU" w:eastAsia="en-US" w:bidi="ar-SA"/>
              </w:rPr>
              <w:t xml:space="preserve">- </w:t>
            </w:r>
            <w:r>
              <w:rPr>
                <w:i w:val="0"/>
                <w:iCs w:val="0"/>
                <w:sz w:val="24"/>
                <w:szCs w:val="24"/>
                <w:highlight w:val="white"/>
                <w:lang w:val="ru-RU" w:eastAsia="en-US" w:bidi="ar-SA"/>
              </w:rPr>
              <w:t xml:space="preserve">проводит проверку выполнения подготовительных работ в соответствии с планом подготовки к ремонту;</w:t>
            </w:r>
            <w:r>
              <w:rPr>
                <w:i w:val="0"/>
                <w:iCs w:val="0"/>
                <w:lang w:val="ru-RU" w:bidi="ar-SA"/>
              </w:rPr>
            </w:r>
            <w:r>
              <w:rPr>
                <w:i w:val="0"/>
                <w:iCs w:val="0"/>
                <w:lang w:val="ru-RU" w:bidi="ar-SA"/>
              </w:rPr>
            </w:r>
          </w:p>
          <w:p>
            <w:pPr>
              <w:pStyle w:val="955"/>
              <w:contextualSpacing/>
              <w:ind w:left="0" w:firstLine="0"/>
              <w:jc w:val="both"/>
              <w:spacing w:before="0" w:after="0"/>
              <w:widowControl/>
              <w:rPr>
                <w:i w:val="0"/>
                <w:iCs w:val="0"/>
                <w:lang w:val="ru-RU" w:bidi="ar-SA"/>
              </w:rPr>
            </w:pPr>
            <w:r>
              <w:rPr>
                <w:i w:val="0"/>
                <w:iCs w:val="0"/>
                <w:lang w:val="ru-RU" w:eastAsia="ru-RU" w:bidi="ar-SA"/>
              </w:rPr>
              <w:t xml:space="preserve">- </w:t>
            </w:r>
            <w:r>
              <w:rPr>
                <w:i w:val="0"/>
                <w:iCs w:val="0"/>
                <w:highlight w:val="white"/>
                <w:lang w:val="ru-RU" w:eastAsia="ru-RU" w:bidi="ar-SA"/>
              </w:rPr>
              <w:t xml:space="preserve">определяет состав бригад (участков) по ремонту отдельных узлов (систем) </w:t>
            </w: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оборудования по численности, квалификации и профессиям</w:t>
            </w:r>
            <w:r>
              <w:rPr>
                <w:i w:val="0"/>
                <w:iCs w:val="0"/>
                <w:sz w:val="24"/>
                <w:szCs w:val="24"/>
                <w:lang w:val="ru-RU" w:eastAsia="en-US" w:bidi="ar-SA"/>
              </w:rPr>
              <w:t xml:space="preserve">.</w:t>
            </w:r>
            <w:r>
              <w:rPr>
                <w:i w:val="0"/>
                <w:iCs w:val="0"/>
                <w:sz w:val="24"/>
                <w:szCs w:val="24"/>
                <w:highlight w:val="white"/>
                <w:lang w:val="ru-RU" w:eastAsia="en-US" w:bidi="ar-SA"/>
              </w:rPr>
              <w:t xml:space="preserve"> При этом должна быть обеспечена полная занятость рабочих в течение установленных графиком сроков производства работ;</w:t>
            </w:r>
            <w:r>
              <w:rPr>
                <w:i w:val="0"/>
                <w:iCs w:val="0"/>
                <w:lang w:val="ru-RU" w:bidi="ar-SA"/>
              </w:rPr>
            </w:r>
            <w:r>
              <w:rPr>
                <w:i w:val="0"/>
                <w:iCs w:val="0"/>
                <w:lang w:val="ru-RU" w:bidi="ar-SA"/>
              </w:rPr>
            </w:r>
          </w:p>
          <w:p>
            <w:pPr>
              <w:pStyle w:val="955"/>
              <w:contextualSpacing/>
              <w:ind w:left="0" w:firstLine="0"/>
              <w:jc w:val="both"/>
              <w:spacing w:before="0" w:after="0"/>
              <w:widowControl/>
              <w:rPr>
                <w:i w:val="0"/>
                <w:iCs w:val="0"/>
                <w:lang w:val="ru-RU" w:eastAsia="ru-RU" w:bidi="ar-SA"/>
              </w:rPr>
            </w:pPr>
            <w:r>
              <w:rPr>
                <w:i w:val="0"/>
                <w:iCs w:val="0"/>
                <w:highlight w:val="white"/>
                <w:lang w:val="ru-RU" w:eastAsia="ru-RU" w:bidi="ar-SA"/>
              </w:rPr>
              <w:t xml:space="preserve">-назначает ответственных представителей для участия во входном контроле оборудования,запасных частей и материалов, дефектации, подготовке технических решений, контроле качества, приемке из ремонта узлов и систем оборудования;</w:t>
            </w:r>
            <w:r>
              <w:rPr>
                <w:i w:val="0"/>
                <w:iCs w:val="0"/>
                <w:lang w:val="ru-RU" w:eastAsia="ru-RU" w:bidi="ar-SA"/>
              </w:rPr>
            </w:r>
            <w:r>
              <w:rPr>
                <w:i w:val="0"/>
                <w:iCs w:val="0"/>
                <w:lang w:val="ru-RU" w:eastAsia="ru-RU" w:bidi="ar-SA"/>
              </w:rPr>
            </w:r>
          </w:p>
          <w:p>
            <w:pPr>
              <w:pStyle w:val="835"/>
              <w:ind w:firstLine="0"/>
              <w:jc w:val="left"/>
              <w:spacing w:before="0" w:after="0" w:line="240" w:lineRule="auto"/>
              <w:widowControl/>
              <w:rPr>
                <w:i w:val="0"/>
                <w:iCs w:val="0"/>
                <w:lang w:val="ru-RU" w:eastAsia="ru-RU" w:bidi="ar-SA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- назначает руководителей работ по ремонту отдельных видов оборудования в соответствии с номенклатурой и объемом работ, принятыми по договору;</w:t>
            </w:r>
            <w:r>
              <w:rPr>
                <w:i w:val="0"/>
                <w:iCs w:val="0"/>
                <w:lang w:val="ru-RU" w:eastAsia="ru-RU" w:bidi="ar-SA"/>
              </w:rPr>
            </w:r>
            <w:r>
              <w:rPr>
                <w:i w:val="0"/>
                <w:iCs w:val="0"/>
                <w:lang w:val="ru-RU" w:eastAsia="ru-RU" w:bidi="ar-SA"/>
              </w:rPr>
            </w:r>
          </w:p>
          <w:p>
            <w:pPr>
              <w:pStyle w:val="835"/>
              <w:jc w:val="both"/>
              <w:spacing w:before="0" w:after="0"/>
              <w:widowControl/>
              <w:rPr>
                <w:i w:val="0"/>
                <w:iCs w:val="0"/>
                <w:lang w:val="ru-RU" w:bidi="ar-SA"/>
              </w:rPr>
            </w:pPr>
            <w:r>
              <w:rPr>
                <w:i w:val="0"/>
                <w:iCs w:val="0"/>
                <w:sz w:val="24"/>
                <w:szCs w:val="24"/>
                <w:lang w:val="ru-RU" w:eastAsia="en-US" w:bidi="ar-SA"/>
              </w:rPr>
              <w:t xml:space="preserve">- </w:t>
            </w:r>
            <w:r>
              <w:rPr>
                <w:i w:val="0"/>
                <w:iCs w:val="0"/>
                <w:sz w:val="24"/>
                <w:szCs w:val="24"/>
                <w:highlight w:val="white"/>
                <w:lang w:val="ru-RU" w:eastAsia="en-US" w:bidi="ar-SA"/>
              </w:rPr>
              <w:t xml:space="preserve">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</w:t>
            </w: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,</w:t>
            </w:r>
            <w:r>
              <w:rPr>
                <w:i w:val="0"/>
                <w:iCs w:val="0"/>
                <w:lang w:val="ru-RU" w:bidi="ar-SA"/>
              </w:rPr>
            </w:r>
            <w:r>
              <w:rPr>
                <w:i w:val="0"/>
                <w:iCs w:val="0"/>
                <w:lang w:val="ru-RU" w:bidi="ar-SA"/>
              </w:rPr>
            </w:r>
          </w:p>
          <w:p>
            <w:pPr>
              <w:pStyle w:val="835"/>
              <w:jc w:val="both"/>
              <w:spacing w:before="0" w:after="0"/>
              <w:widowControl/>
              <w:rPr>
                <w:i w:val="0"/>
                <w:iCs w:val="0"/>
                <w:lang w:val="ru-RU" w:bidi="ar-SA"/>
              </w:rPr>
            </w:pPr>
            <w:r>
              <w:rPr>
                <w:i w:val="0"/>
                <w:iCs w:val="0"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обеспечивает готовность инструмента, технологической оснастки</w:t>
            </w:r>
            <w:r>
              <w:rPr>
                <w:i w:val="0"/>
                <w:iCs w:val="0"/>
                <w:sz w:val="24"/>
                <w:szCs w:val="24"/>
                <w:highlight w:val="white"/>
                <w:lang w:val="ru-RU" w:eastAsia="en-US" w:bidi="ar-SA"/>
              </w:rPr>
              <w:t xml:space="preserve">;</w:t>
            </w:r>
            <w:r>
              <w:rPr>
                <w:i w:val="0"/>
                <w:iCs w:val="0"/>
                <w:lang w:val="ru-RU" w:bidi="ar-SA"/>
              </w:rPr>
            </w:r>
            <w:r>
              <w:rPr>
                <w:i w:val="0"/>
                <w:iCs w:val="0"/>
                <w:lang w:val="ru-RU" w:bidi="ar-SA"/>
              </w:rPr>
            </w:r>
          </w:p>
          <w:p>
            <w:pPr>
              <w:pStyle w:val="835"/>
              <w:jc w:val="both"/>
              <w:spacing w:before="0" w:after="0"/>
              <w:widowControl/>
              <w:rPr>
                <w:i w:val="0"/>
                <w:iCs w:val="0"/>
                <w:lang w:val="ru-RU" w:bidi="ar-SA"/>
              </w:rPr>
            </w:pPr>
            <w:r>
              <w:rPr>
                <w:i w:val="0"/>
                <w:iCs w:val="0"/>
                <w:sz w:val="24"/>
                <w:szCs w:val="24"/>
                <w:lang w:val="ru-RU" w:eastAsia="en-US" w:bidi="ar-SA"/>
              </w:rPr>
              <w:t xml:space="preserve">-</w:t>
            </w:r>
            <w:r>
              <w:rPr>
                <w:i w:val="0"/>
                <w:iCs w:val="0"/>
                <w:sz w:val="24"/>
                <w:szCs w:val="24"/>
                <w:highlight w:val="white"/>
                <w:lang w:val="ru-RU" w:eastAsia="en-US" w:bidi="ar-SA"/>
              </w:rPr>
              <w:t xml:space="preserve">проверяет удостоверения лиц специальностей на право выполнения работ при ремонте объектов;</w:t>
            </w:r>
            <w:r>
              <w:rPr>
                <w:i w:val="0"/>
                <w:iCs w:val="0"/>
                <w:lang w:val="ru-RU" w:bidi="ar-SA"/>
              </w:rPr>
            </w:r>
            <w:r>
              <w:rPr>
                <w:i w:val="0"/>
                <w:iCs w:val="0"/>
                <w:lang w:val="ru-RU" w:bidi="ar-SA"/>
              </w:rPr>
            </w:r>
          </w:p>
          <w:p>
            <w:pPr>
              <w:pStyle w:val="835"/>
              <w:jc w:val="both"/>
              <w:spacing w:before="0" w:after="0"/>
              <w:widowControl/>
              <w:rPr>
                <w:i w:val="0"/>
                <w:iCs w:val="0"/>
                <w:lang w:val="ru-RU" w:bidi="ar-SA"/>
              </w:rPr>
            </w:pPr>
            <w:r>
              <w:rPr>
                <w:i w:val="0"/>
                <w:iCs w:val="0"/>
                <w:sz w:val="24"/>
                <w:szCs w:val="24"/>
                <w:lang w:val="ru-RU" w:eastAsia="en-US" w:bidi="ar-SA"/>
              </w:rPr>
              <w:t xml:space="preserve">- </w:t>
            </w:r>
            <w:r>
              <w:rPr>
                <w:i w:val="0"/>
                <w:iCs w:val="0"/>
                <w:sz w:val="24"/>
                <w:szCs w:val="24"/>
                <w:highlight w:val="white"/>
                <w:lang w:val="ru-RU" w:eastAsia="en-US" w:bidi="ar-SA"/>
              </w:rPr>
              <w:t xml:space="preserve">выполнение требований допуска ремонтного и командированного персонала, предусмотренного п. 1.2.2 Технических требований.</w:t>
            </w:r>
            <w:r>
              <w:rPr>
                <w:i w:val="0"/>
                <w:iCs w:val="0"/>
                <w:lang w:val="ru-RU" w:bidi="ar-SA"/>
              </w:rPr>
            </w:r>
            <w:r>
              <w:rPr>
                <w:i w:val="0"/>
                <w:iCs w:val="0"/>
                <w:lang w:val="ru-RU" w:bidi="ar-SA"/>
              </w:rPr>
            </w:r>
          </w:p>
          <w:p>
            <w:pPr>
              <w:pStyle w:val="835"/>
              <w:jc w:val="both"/>
              <w:spacing w:before="0" w:after="0"/>
              <w:widowControl/>
              <w:rPr>
                <w:i w:val="0"/>
                <w:iCs w:val="0"/>
                <w:lang w:val="ru-RU" w:bidi="ar-SA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  <w:lang w:val="ru-RU" w:eastAsia="en-US" w:bidi="ar-SA"/>
              </w:rPr>
              <w:t xml:space="preserve">Применяемые при работах м</w:t>
            </w:r>
            <w:r>
              <w:rPr>
                <w:i w:val="0"/>
                <w:iCs w:val="0"/>
                <w:sz w:val="24"/>
                <w:szCs w:val="24"/>
                <w:highlight w:val="white"/>
                <w:lang w:val="ru-RU" w:eastAsia="en-US" w:bidi="ar-SA"/>
              </w:rPr>
              <w:t xml:space="preserve">еханизмы (в соответствии с разрабатываемым Подрядчиком ППР), приспособления и инструмент должны быть испытаны и эксплуатироваться в соответствии с требованиями стандартов безопасности труда, правил Ростехнадзора, а также инструкций заводов – изготовителей.</w:t>
            </w:r>
            <w:r>
              <w:rPr>
                <w:i w:val="0"/>
                <w:iCs w:val="0"/>
                <w:lang w:val="ru-RU" w:bidi="ar-SA"/>
              </w:rPr>
            </w:r>
            <w:r>
              <w:rPr>
                <w:i w:val="0"/>
                <w:iCs w:val="0"/>
                <w:lang w:val="ru-RU" w:bidi="ar-SA"/>
              </w:rPr>
            </w:r>
          </w:p>
          <w:p>
            <w:pPr>
              <w:pStyle w:val="835"/>
              <w:jc w:val="both"/>
              <w:spacing w:before="0" w:after="0"/>
              <w:widowControl/>
              <w:rPr>
                <w:i w:val="0"/>
                <w:iCs w:val="0"/>
                <w:highlight w:val="white"/>
                <w:lang w:val="ru-RU" w:bidi="ar-SA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  <w:lang w:val="ru-RU" w:eastAsia="en-US" w:bidi="ar-SA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ремонтных работ. Для производства работ в охранной зоне необходимо получить наряд-допуск.</w:t>
            </w:r>
            <w:r>
              <w:rPr>
                <w:i w:val="0"/>
                <w:iCs w:val="0"/>
                <w:highlight w:val="white"/>
                <w:lang w:val="ru-RU" w:bidi="ar-SA"/>
              </w:rPr>
            </w:r>
            <w:r>
              <w:rPr>
                <w:i w:val="0"/>
                <w:iCs w:val="0"/>
                <w:highlight w:val="white"/>
                <w:lang w:val="ru-RU" w:bidi="ar-SA"/>
              </w:rPr>
            </w:r>
            <w:r>
              <w:rPr>
                <w:bCs/>
                <w:i w:val="0"/>
                <w:iCs w:val="0"/>
                <w:sz w:val="24"/>
                <w:szCs w:val="24"/>
                <w:lang w:val="ru-RU" w:eastAsia="ru-RU" w:bidi="ar-SA"/>
              </w:rPr>
            </w:r>
            <w:r>
              <w:rPr>
                <w:bCs/>
                <w:i w:val="0"/>
                <w:iCs w:val="0"/>
                <w:sz w:val="24"/>
                <w:szCs w:val="24"/>
                <w:lang w:val="ru-RU" w:eastAsia="ru-RU" w:bidi="ar-SA"/>
              </w:rPr>
            </w:r>
            <w:r>
              <w:rPr>
                <w:bCs/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highlight w:val="white"/>
                <w:lang w:val="ru-RU" w:bidi="ar-SA"/>
              </w:rPr>
            </w:r>
          </w:p>
          <w:p>
            <w:pPr>
              <w:pStyle w:val="835"/>
              <w:ind w:firstLine="456"/>
              <w:jc w:val="both"/>
              <w:spacing w:before="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eastAsia="ru-RU" w:bidi="ar-SA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закупке.</w:t>
            </w:r>
            <w:r>
              <w:rPr>
                <w:i w:val="0"/>
                <w:iCs w:val="0"/>
                <w:sz w:val="24"/>
                <w:szCs w:val="24"/>
                <w:lang w:val="ru-RU" w:eastAsia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83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835"/>
              <w:jc w:val="center"/>
              <w:rPr>
                <w:bCs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sz w:val="22"/>
                <w:szCs w:val="22"/>
              </w:rPr>
              <w:outlineLvl w:val="2"/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</w:tc>
      </w:tr>
      <w:tr>
        <w:tblPrEx/>
        <w:trPr>
          <w:trHeight w:val="24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835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2" w:type="dxa"/>
            <w:textDirection w:val="lrTb"/>
            <w:noWrap w:val="false"/>
          </w:tcPr>
          <w:p>
            <w:pPr>
              <w:pStyle w:val="835"/>
              <w:ind w:firstLine="456"/>
              <w:jc w:val="both"/>
              <w:spacing w:before="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Допуск персонал</w:t>
            </w:r>
            <w:r>
              <w:rPr>
                <w:sz w:val="24"/>
                <w:szCs w:val="24"/>
              </w:rPr>
              <w:t xml:space="preserve">а подрядчика для выполнения работ должен осуществляться в соответствии с:       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both"/>
              <w:spacing w:before="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Положением «О допуске персонала подрядных организаций к выполнению работ на объектах АО «ДГК» 22.1-504-2023, утвержденное приказом № 534 от 28.07.2023г.» (Приложение № 5 к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настоящим </w:t>
            </w:r>
            <w:r>
              <w:rPr>
                <w:sz w:val="24"/>
                <w:szCs w:val="24"/>
              </w:rPr>
              <w:t xml:space="preserve">ТТ);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835"/>
              <w:jc w:val="both"/>
              <w:spacing w:before="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Инструкцией о пропускном и внутриобъектовом режимах на объектах СП «Благовещенская ТЭЦ» АО «ДГК» (Приложение № 5 к</w:t>
            </w:r>
            <w:r>
              <w:rPr>
                <w:color w:val="000000" w:themeColor="text1"/>
                <w:sz w:val="24"/>
                <w:szCs w:val="24"/>
              </w:rPr>
              <w:t xml:space="preserve"> настоящим </w:t>
            </w:r>
            <w:r>
              <w:rPr>
                <w:sz w:val="24"/>
                <w:szCs w:val="24"/>
              </w:rPr>
              <w:t xml:space="preserve">ТТ), с обязательным оформлением необходимых нарядов-допусков.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835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  <w:p>
            <w:pPr>
              <w:pStyle w:val="835"/>
              <w:jc w:val="center"/>
              <w:rPr>
                <w:bCs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70"/>
              <w:numPr>
                <w:ilvl w:val="0"/>
                <w:numId w:val="0"/>
              </w:numPr>
              <w:jc w:val="left"/>
              <w:keepNext w:val="0"/>
              <w:spacing w:before="0" w:after="6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9" w:type="dxa"/>
            <w:vAlign w:val="center"/>
            <w:textDirection w:val="lrTb"/>
            <w:noWrap w:val="false"/>
          </w:tcPr>
          <w:p>
            <w:pPr>
              <w:pStyle w:val="835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контролю качества работ и материалов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835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используемым материально – техническим ресурсам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2" w:type="dxa"/>
            <w:textDirection w:val="lrTb"/>
            <w:noWrap w:val="false"/>
          </w:tcPr>
          <w:p>
            <w:pPr>
              <w:pStyle w:val="835"/>
              <w:jc w:val="both"/>
              <w:spacing w:before="0" w:after="6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Материалы, необходимые для выполнения работ, приобретаются подрядчиком самостоятельно согласно ведомостям объемов работ, являющейся приложением к настоящим Техническим требованиям </w:t>
            </w:r>
            <w:r>
              <w:rPr>
                <w:sz w:val="24"/>
                <w:szCs w:val="24"/>
                <w:highlight w:val="white"/>
              </w:rPr>
              <w:t xml:space="preserve">(Приложение № 1.1-1.2.), </w:t>
            </w:r>
            <w:r>
              <w:rPr>
                <w:iCs/>
                <w:sz w:val="24"/>
                <w:szCs w:val="24"/>
              </w:rPr>
              <w:t xml:space="preserve">кроме Давальческих материалов (Приложение №2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iCs/>
                <w:sz w:val="24"/>
                <w:szCs w:val="24"/>
              </w:rPr>
              <w:t xml:space="preserve"> к Техническим требованиям. 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pStyle w:val="835"/>
              <w:jc w:val="both"/>
              <w:spacing w:before="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 применяемые материалы должны быть новыми и не использованными ранее.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contextualSpacing/>
              <w:ind w:left="4"/>
              <w:jc w:val="both"/>
              <w:spacing w:before="0" w:after="0"/>
              <w:tabs>
                <w:tab w:val="left" w:pos="309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Подрядчиком в работе могут быть применены эквивалентные материалы*, предварительно согласованные с Заказчиком.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contextualSpacing/>
              <w:ind w:left="4"/>
              <w:jc w:val="both"/>
              <w:spacing w:before="0" w:after="0"/>
              <w:tabs>
                <w:tab w:val="left" w:pos="309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случае, если на этапе исполнения договора Подрядчиком, вместо материалов конкретных торговых знаков, марок и/или наименований, указанных в ведомостях объемов работ (Приложение № 1.1-1.2</w:t>
            </w:r>
            <w:r>
              <w:rPr>
                <w:sz w:val="24"/>
                <w:szCs w:val="24"/>
              </w:rPr>
              <w:t xml:space="preserve">. к настоящему ТТ), будет применяться эквивалентная продукция, Подрядчик принимает на себя все затраты по внесению соответствующих изменений проектную и сметную документацию, а также согласованию ее с Заказчиком без увеличения общей стоимости по Договору.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ind w:firstLine="456"/>
              <w:jc w:val="both"/>
              <w:spacing w:before="0" w:after="60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В сл</w:t>
            </w: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учае, если в документации (в том числе Ведомостях объемов работ) содержатся указания на товарные знаки в отношении МТР, использование которых осуществляется в ходе исполнения Договора, применительно к таким товарным знакам следует читать «или эквивалент»*.</w:t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</w:p>
          <w:p>
            <w:pPr>
              <w:pStyle w:val="835"/>
              <w:ind w:firstLine="456"/>
              <w:jc w:val="both"/>
              <w:spacing w:before="0" w:after="60"/>
              <w:rPr>
                <w:rFonts w:eastAsia="Courier New"/>
                <w:color w:val="000000" w:themeColor="text1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*Эквивалентная продукция – это продукция, которая по техническим и функциональным характеристикам не уступает характеристикам, заявленным </w:t>
            </w:r>
            <w:r>
              <w:rPr>
                <w:rFonts w:eastAsia="Courier New"/>
                <w:color w:val="000000" w:themeColor="text1"/>
                <w:sz w:val="24"/>
                <w:szCs w:val="24"/>
                <w:lang w:bidi="ru-RU"/>
              </w:rPr>
              <w:t xml:space="preserve">в ведомости материалов Подрядчика и проектной документации,  в том числе, по гарантийным срокам и срокам эксплуатации.</w:t>
            </w:r>
            <w:r>
              <w:rPr>
                <w:rFonts w:eastAsia="Courier New"/>
                <w:color w:val="000000" w:themeColor="text1"/>
                <w:sz w:val="24"/>
                <w:szCs w:val="24"/>
              </w:rPr>
            </w:r>
            <w:r>
              <w:rPr>
                <w:rFonts w:eastAsia="Courier New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835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 качества используемых материалов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2" w:type="dxa"/>
            <w:textDirection w:val="lrTb"/>
            <w:noWrap w:val="false"/>
          </w:tcPr>
          <w:p>
            <w:pPr>
              <w:pStyle w:val="835"/>
              <w:ind w:firstLine="456"/>
              <w:jc w:val="both"/>
              <w:spacing w:before="0" w:after="60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Материально – технические ресурсы должны иметь сертификаты, паспорта, подтверждающие их качество.</w:t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</w:p>
          <w:p>
            <w:pPr>
              <w:pStyle w:val="835"/>
              <w:ind w:firstLine="456"/>
              <w:jc w:val="both"/>
              <w:spacing w:before="0" w:after="60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При осуществлении Подрядчиком входного контроля качества материально – технических ресурсов, поступивших на место производства работ, обязательно нал</w:t>
            </w: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ичие и ведение журнала входного учета и контроля качества получаемых материалов. Отсутствие записи о приемке материалов и оборудования в данном журнале дает основание Заказчику в отказе приемки выполненных работ с использованием соответствующих материалов.</w:t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</w:p>
          <w:p>
            <w:pPr>
              <w:pStyle w:val="835"/>
              <w:jc w:val="both"/>
              <w:spacing w:before="0" w:after="60"/>
              <w:rPr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     </w:t>
            </w: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Подробно указаны в проекте договора подряда (в том числе в разделе № 2), который включен в состав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35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835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 качества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2" w:type="dxa"/>
            <w:textDirection w:val="lrTb"/>
            <w:noWrap w:val="false"/>
          </w:tcPr>
          <w:p>
            <w:pPr>
              <w:pStyle w:val="835"/>
              <w:ind w:firstLine="456"/>
              <w:jc w:val="both"/>
              <w:spacing w:before="0" w:after="60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В соответствии с законом № 184-ФЗ «О техническом регулировании» Подрядчик принимает на себя добровольное обязате</w:t>
            </w: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льство о соблюдении требований правил, технических условий, ГОСТ, ПЭУ и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</w:t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6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Руководители работ подрядных организаций, участвующие в производстве Работ совместно с представителями Заказчика, проводят опе</w:t>
            </w:r>
            <w:r>
              <w:rPr>
                <w:sz w:val="24"/>
                <w:szCs w:val="24"/>
              </w:rPr>
              <w:t xml:space="preserve">ративный контроль качества выполняемых ре</w:t>
            </w:r>
            <w:r>
              <w:rPr>
                <w:sz w:val="24"/>
                <w:szCs w:val="24"/>
              </w:rPr>
              <w:t xml:space="preserve">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45"/>
              <w:ind w:firstLine="5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ind w:right="97" w:firstLine="460"/>
              <w:jc w:val="both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Приемка в эксплуатацию и контроль качества ремонта должны производиться в соответствии с: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35"/>
              <w:ind w:right="97"/>
              <w:jc w:val="both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</w:t>
            </w:r>
            <w:r>
              <w:rPr>
                <w:bCs/>
                <w:sz w:val="24"/>
                <w:szCs w:val="24"/>
              </w:rPr>
              <w:t xml:space="preserve">-  разделами  №№4.2 «Положения об организации контроля и приемке выполненных работ на ремонтируемых объектах, объектах модернизации, реконструкции и технического перевооружения - 21-003-2019» (Приложение № 5 к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настоящим</w:t>
            </w:r>
            <w:r>
              <w:rPr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ТТ).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35"/>
              <w:ind w:firstLine="456"/>
              <w:jc w:val="both"/>
              <w:spacing w:before="0" w:after="60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</w:p>
          <w:p>
            <w:pPr>
              <w:pStyle w:val="835"/>
              <w:ind w:firstLine="456"/>
              <w:jc w:val="both"/>
              <w:spacing w:before="0" w:after="60"/>
              <w:rPr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Подробно указаны в проекте договора подряда (в том числе в разделе № 2), который включен в состав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35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9" w:type="dxa"/>
            <w:vAlign w:val="center"/>
            <w:textDirection w:val="lrTb"/>
            <w:noWrap w:val="false"/>
          </w:tcPr>
          <w:p>
            <w:pPr>
              <w:pStyle w:val="835"/>
              <w:spacing w:before="6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безопасности работ и охране труда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835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безопасности выполняемых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2" w:type="dxa"/>
            <w:textDirection w:val="lrTb"/>
            <w:noWrap w:val="false"/>
          </w:tcPr>
          <w:p>
            <w:pPr>
              <w:pStyle w:val="953"/>
              <w:ind w:firstLine="460"/>
              <w:jc w:val="both"/>
              <w:spacing w:line="240" w:lineRule="auto"/>
              <w:rPr>
                <w:bCs/>
              </w:rPr>
            </w:pPr>
            <w:r>
              <w:rPr>
                <w:bCs/>
              </w:rPr>
      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СП 49.13330.2010 «Безопасность труда в строительстве» Часть 1. Общие треб</w:t>
            </w:r>
            <w:r>
              <w:rPr>
                <w:sz w:val="24"/>
                <w:szCs w:val="24"/>
              </w:rPr>
              <w:t xml:space="preserve">ования. Приняты и введены в действие Постановлением Госстроя РФ от 23.07.2001 г. №80;</w:t>
              <w:br/>
              <w:t xml:space="preserve">- СНиП 12-04-2002 «Безопасность труда в строительстве» Часть 2. Строительное производство». Приняты и введены в действие Постановлением Госстроя РФ от 17.09.2002 г. №123;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3"/>
              <w:ind w:firstLine="280"/>
              <w:jc w:val="both"/>
              <w:spacing w:line="240" w:lineRule="auto"/>
            </w:pPr>
            <w:r>
              <w:t xml:space="preserve">Правила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26.11.2020г. №461).</w:t>
            </w:r>
            <w:r/>
          </w:p>
          <w:p>
            <w:pPr>
              <w:pStyle w:val="953"/>
              <w:jc w:val="both"/>
              <w:spacing w:line="240" w:lineRule="auto"/>
              <w:rPr>
                <w:rFonts w:eastAsia="Courier New"/>
                <w:color w:val="000000"/>
              </w:rPr>
            </w:pPr>
            <w:r>
              <w:t xml:space="preserve">Более подробно требования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ourier New"/>
                <w:color w:val="000000"/>
              </w:rPr>
            </w:r>
            <w:r>
              <w:rPr>
                <w:rFonts w:eastAsia="Courier New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jc w:val="center"/>
              <w:rPr>
                <w:bCs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835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835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требований к пожарной безопасности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2" w:type="dxa"/>
            <w:textDirection w:val="lrTb"/>
            <w:noWrap w:val="false"/>
          </w:tcPr>
          <w:p>
            <w:pPr>
              <w:pStyle w:val="835"/>
              <w:ind w:firstLine="456"/>
              <w:jc w:val="both"/>
              <w:spacing w:before="0" w:after="60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</w:p>
          <w:p>
            <w:pPr>
              <w:pStyle w:val="835"/>
              <w:jc w:val="both"/>
              <w:spacing w:before="0" w:after="60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- Правилах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</w:p>
          <w:p>
            <w:pPr>
              <w:pStyle w:val="835"/>
              <w:jc w:val="both"/>
              <w:spacing w:before="0" w:after="60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- №123-ФЗ от 22.07.2008 «Технический регламент о требованиях пожарной безопасности»;</w:t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</w:p>
          <w:p>
            <w:pPr>
              <w:pStyle w:val="835"/>
              <w:jc w:val="both"/>
              <w:spacing w:before="0" w:after="60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- ГОСТ 12.1.004-91* Система стандартов безопасности труда. Пожарная безопасность. Общие требования.</w:t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</w:p>
          <w:p>
            <w:pPr>
              <w:pStyle w:val="955"/>
              <w:contextualSpacing/>
              <w:ind w:left="0" w:firstLine="422"/>
              <w:jc w:val="both"/>
              <w:spacing w:before="0" w:after="60"/>
            </w:pPr>
            <w:r>
              <w:t xml:space="preserve">При выполнении данных работ дополнительно необходимо соблюдать требования объектовых (производственных) инструкций, пожарные и санитарные нормы, действующие на предприятии Заказчика.</w:t>
            </w:r>
            <w:r/>
          </w:p>
          <w:p>
            <w:pPr>
              <w:pStyle w:val="955"/>
              <w:contextualSpacing/>
              <w:ind w:left="0" w:firstLine="422"/>
              <w:jc w:val="both"/>
              <w:spacing w:before="0" w:after="60"/>
            </w:pPr>
            <w: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  <w:r/>
          </w:p>
          <w:p>
            <w:pPr>
              <w:pStyle w:val="955"/>
              <w:contextualSpacing/>
              <w:ind w:left="0" w:firstLine="422"/>
              <w:jc w:val="both"/>
              <w:spacing w:before="0" w:after="60"/>
            </w:pPr>
            <w: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  <w:r/>
          </w:p>
          <w:p>
            <w:pPr>
              <w:pStyle w:val="955"/>
              <w:contextualSpacing/>
              <w:ind w:left="0" w:firstLine="422"/>
              <w:jc w:val="both"/>
              <w:spacing w:before="0" w:after="60"/>
            </w:pPr>
            <w:r>
              <w:t xml:space="preserve">Ремонтная площадка должна быть оснащена средствами пожаротушения.</w:t>
            </w:r>
            <w:r/>
          </w:p>
          <w:p>
            <w:pPr>
              <w:pStyle w:val="955"/>
              <w:contextualSpacing/>
              <w:ind w:left="0" w:firstLine="456"/>
              <w:jc w:val="both"/>
              <w:spacing w:before="0" w:after="60"/>
            </w:pPr>
            <w:r>
              <w:t xml:space="preserve">Подробно указаны в проекте договора подряда, которое включено в состав Документации о закупке).</w:t>
            </w:r>
            <w:r/>
          </w:p>
          <w:p>
            <w:pPr>
              <w:pStyle w:val="835"/>
              <w:jc w:val="both"/>
              <w:spacing w:before="0" w:after="60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jc w:val="center"/>
              <w:rPr>
                <w:bCs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835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835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требований к охране окружающей среды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2" w:type="dxa"/>
            <w:textDirection w:val="lrTb"/>
            <w:noWrap w:val="false"/>
          </w:tcPr>
          <w:p>
            <w:pPr>
              <w:pStyle w:val="835"/>
              <w:ind w:firstLine="456"/>
              <w:jc w:val="both"/>
              <w:spacing w:before="0" w:after="60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При выполнении всех строительных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</w:p>
          <w:p>
            <w:pPr>
              <w:pStyle w:val="835"/>
              <w:ind w:firstLine="456"/>
              <w:jc w:val="both"/>
              <w:spacing w:before="0" w:after="60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Отходы, строительный мусор должны своевременно вывозиться для дальнейшей утилизации.</w:t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</w:p>
          <w:p>
            <w:pPr>
              <w:pStyle w:val="835"/>
              <w:ind w:firstLine="456"/>
              <w:jc w:val="both"/>
              <w:spacing w:before="0" w:after="60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Мероприятия и работы по охране окружающей среды вести в соответствии:</w:t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</w:p>
          <w:p>
            <w:pPr>
              <w:pStyle w:val="835"/>
              <w:jc w:val="both"/>
              <w:spacing w:before="0" w:after="60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Федеральный закон от 10.01.2002 № 7-ФЗ «Об охране окружающей среды» (ред. от 02.07.21);</w:t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</w:p>
          <w:p>
            <w:pPr>
              <w:pStyle w:val="835"/>
              <w:jc w:val="both"/>
              <w:spacing w:before="0" w:after="60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Федеральный закон от 04.05.1999 № 96-ФЗ «Об охране атмосферного воздуха» (ред. от 11.06.2021);</w:t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  <w:r>
              <w:rPr>
                <w:rFonts w:eastAsia="Courier New"/>
                <w:color w:val="000000"/>
                <w:sz w:val="24"/>
                <w:szCs w:val="24"/>
              </w:rPr>
            </w:r>
          </w:p>
          <w:p>
            <w:pPr>
              <w:pStyle w:val="955"/>
              <w:contextualSpacing/>
              <w:ind w:left="0" w:firstLine="456"/>
              <w:jc w:val="both"/>
              <w:spacing w:before="0" w:after="60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rFonts w:eastAsia="Courier New"/>
                <w:color w:val="000000"/>
              </w:rPr>
            </w:r>
            <w:r>
              <w:rPr>
                <w:rFonts w:eastAsia="Courier New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jc w:val="center"/>
              <w:rPr>
                <w:bCs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835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55"/>
              <w:ind w:left="0"/>
            </w:pPr>
            <w:r>
              <w:t xml:space="preserve">Соблюдение требований охраны труда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2" w:type="dxa"/>
            <w:textDirection w:val="lrTb"/>
            <w:noWrap w:val="false"/>
          </w:tcPr>
          <w:p>
            <w:pPr>
              <w:pStyle w:val="955"/>
              <w:ind w:left="-3"/>
              <w:jc w:val="both"/>
            </w:pPr>
            <w: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/>
          </w:p>
          <w:p>
            <w:pPr>
              <w:pStyle w:val="955"/>
              <w:ind w:left="-3"/>
              <w:jc w:val="both"/>
            </w:pPr>
            <w:r>
              <w:t xml:space="preserve">– </w:t>
            </w:r>
            <w:r>
              <w:t xml:space="preserve">Правилах по охране труда при работе с инструментом и приспособлениями (утверждены приказом Министерства труда от 27.11.2020 № 835н);</w:t>
            </w:r>
            <w:r/>
          </w:p>
          <w:p>
            <w:pPr>
              <w:pStyle w:val="955"/>
              <w:ind w:left="-3"/>
              <w:jc w:val="both"/>
            </w:pPr>
            <w:r>
              <w:t xml:space="preserve">– </w:t>
            </w:r>
            <w:r>
              <w:t xml:space="preserve">Правилах по охране труда при эксплуатации электроустановок, утвержденные Приказом Министерства труда и социальной защиты РФ от 15.12.2020 №903н.</w:t>
            </w:r>
            <w:r/>
          </w:p>
          <w:p>
            <w:pPr>
              <w:pStyle w:val="955"/>
              <w:ind w:left="-3"/>
              <w:jc w:val="both"/>
            </w:pPr>
            <w:r>
              <w:t xml:space="preserve">– </w:t>
            </w:r>
            <w:r>
              <w:t xml:space="preserve">Правилах по охране труда при обработке металлов (утв. приказом Министерства труда и социальной защиты Российской Федерации от 11.12.2020г. №887н);</w:t>
            </w:r>
            <w:r/>
          </w:p>
          <w:p>
            <w:pPr>
              <w:pStyle w:val="955"/>
              <w:ind w:left="-3"/>
              <w:jc w:val="both"/>
            </w:pPr>
            <w:r>
              <w:t xml:space="preserve">– </w:t>
            </w:r>
            <w:r>
              <w:t xml:space="preserve">Правилах при погрузочно-разгрузочных работах и размещении грузов (утв. приказом Министерства труда и социальной защиты Российской Федерации от 28.10.2020г. №753н);</w:t>
            </w:r>
            <w:r/>
          </w:p>
          <w:p>
            <w:pPr>
              <w:pStyle w:val="955"/>
              <w:numPr>
                <w:ilvl w:val="0"/>
                <w:numId w:val="3"/>
              </w:numPr>
              <w:ind w:left="0" w:firstLine="0"/>
              <w:jc w:val="both"/>
              <w:rPr>
                <w:bCs/>
              </w:rPr>
            </w:pPr>
            <w:r>
              <w:t xml:space="preserve">Правилах при эксплуатации промышленного транспорта (напольный безрельсовый колесный транспорт) (утв. приказом Министерства труда и социальной защиты Российской Федерации от 18.11.2020г. №814н);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Правила по охране труда при работе на высоте (утв. приказом Минтруда России от 16.11.2020 № 782н);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5"/>
              <w:ind w:left="-3"/>
              <w:jc w:val="both"/>
              <w:rPr>
                <w:bCs/>
              </w:rPr>
            </w:pPr>
            <w: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55"/>
              <w:ind w:left="-3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55"/>
              <w:ind w:left="-3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jc w:val="center"/>
              <w:rPr>
                <w:bCs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835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9" w:type="dxa"/>
            <w:textDirection w:val="lrTb"/>
            <w:noWrap w:val="false"/>
          </w:tcPr>
          <w:p>
            <w:pPr>
              <w:pStyle w:val="955"/>
              <w:ind w:left="0"/>
              <w:rPr>
                <w:i/>
              </w:rPr>
            </w:pPr>
            <w:r>
              <w:rPr>
                <w:b/>
              </w:rPr>
              <w:t xml:space="preserve">Требования к персоналу подрядчика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1.5.1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9" w:type="dxa"/>
            <w:textDirection w:val="lrTb"/>
            <w:noWrap w:val="false"/>
          </w:tcPr>
          <w:p>
            <w:pPr>
              <w:pStyle w:val="955"/>
              <w:contextualSpacing/>
              <w:ind w:left="-71" w:firstLine="0"/>
              <w:jc w:val="both"/>
              <w:spacing w:before="0" w:after="0"/>
              <w:widowControl/>
              <w:rPr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Квалификация персонала должна соответствовать видам выполняемых работ и располагать:</w:t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pStyle w:val="955"/>
              <w:contextualSpacing/>
              <w:ind w:left="-71" w:firstLine="0"/>
              <w:jc w:val="both"/>
              <w:spacing w:before="0" w:after="0"/>
              <w:widowControl/>
              <w:rPr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- 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бригадой:</w:t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pStyle w:val="955"/>
              <w:contextualSpacing/>
              <w:ind w:left="-71" w:firstLine="0"/>
              <w:jc w:val="both"/>
              <w:spacing w:before="0" w:after="0"/>
              <w:widowControl/>
              <w:rPr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- достаточным количеством аттестованного персонала, организованного по принципу комплексных специализированных бригад.</w:t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pStyle w:val="955"/>
              <w:contextualSpacing/>
              <w:ind w:left="-71" w:firstLine="0"/>
              <w:jc w:val="both"/>
              <w:spacing w:before="0" w:after="0"/>
              <w:widowControl/>
              <w:rPr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Подрядчик должен:</w:t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pStyle w:val="955"/>
              <w:contextualSpacing/>
              <w:ind w:left="-71" w:firstLine="0"/>
              <w:jc w:val="both"/>
              <w:spacing w:before="0" w:after="0"/>
              <w:widowControl/>
              <w:rPr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- обладать гражданской правоспособностью в полном объёме для заключения и исполнения договора подряда (должен быть зарегистрирован в установленном порядке и иметь соответствующие разрешения на выполнение видов работ в рамках договора подряда);</w:t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pStyle w:val="955"/>
              <w:contextualSpacing/>
              <w:ind w:left="-71" w:firstLine="0"/>
              <w:jc w:val="both"/>
              <w:spacing w:before="0" w:after="0"/>
              <w:widowControl/>
              <w:rPr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Во время проведения работ команда ИТР Подрядчика должна поддерживать на должном уровне систему управ</w:t>
            </w: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ления работами (инструментальное и материально-техническое обеспечение, уборка рабочих мест и конструкций оборудования, транспортировка мусора и отходов, оплаты и стимулирования труда, мероприятия по безопасности труда, противопожарных мероприятий и т.д.).</w:t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pStyle w:val="835"/>
              <w:ind w:right="97" w:firstLine="0"/>
              <w:jc w:val="both"/>
              <w:spacing w:before="0" w:after="0"/>
              <w:widowControl w:val="off"/>
              <w:rPr>
                <w:b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  <w:lang w:val="ru-RU" w:eastAsia="ru-RU" w:bidi="ar-SA"/>
              </w:rPr>
              <w:t xml:space="preserve">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</w:t>
            </w:r>
            <w:r>
              <w:rPr>
                <w:b/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b/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pStyle w:val="955"/>
              <w:contextualSpacing/>
              <w:ind w:left="0" w:firstLine="0"/>
              <w:jc w:val="both"/>
              <w:spacing w:before="0" w:after="0"/>
              <w:widowControl/>
              <w:rPr>
                <w:bCs w:val="0"/>
                <w:i w:val="0"/>
                <w:sz w:val="22"/>
                <w:szCs w:val="22"/>
                <w:highlight w:val="white"/>
              </w:rPr>
            </w:pPr>
            <w:r>
              <w:rPr>
                <w:bCs/>
                <w:i w:val="0"/>
                <w:iCs w:val="0"/>
                <w:sz w:val="22"/>
                <w:szCs w:val="22"/>
                <w:highlight w:val="white"/>
                <w:lang w:val="ru-RU" w:eastAsia="ru-RU" w:bidi="ar-SA"/>
              </w:rPr>
            </w:r>
            <w:r>
              <w:rPr>
                <w:bCs w:val="0"/>
                <w:i w:val="0"/>
                <w:sz w:val="22"/>
                <w:szCs w:val="22"/>
                <w:highlight w:val="white"/>
              </w:rPr>
            </w:r>
            <w:r>
              <w:rPr>
                <w:bCs w:val="0"/>
                <w:i w:val="0"/>
                <w:sz w:val="22"/>
                <w:szCs w:val="22"/>
                <w:highlight w:val="white"/>
              </w:rPr>
            </w:r>
          </w:p>
          <w:p>
            <w:pPr>
              <w:pStyle w:val="955"/>
              <w:contextualSpacing/>
              <w:ind w:left="0" w:firstLine="0"/>
              <w:jc w:val="both"/>
              <w:spacing w:before="0" w:after="0"/>
              <w:widowControl/>
              <w:rPr>
                <w:bCs/>
                <w:i/>
                <w:sz w:val="22"/>
                <w:szCs w:val="22"/>
                <w:highlight w:val="white"/>
              </w:rPr>
            </w:pPr>
            <w:r>
              <w:rPr>
                <w:rFonts w:eastAsia="Courier New"/>
                <w:i/>
                <w:iCs/>
                <w:color w:val="000000"/>
                <w:sz w:val="22"/>
                <w:szCs w:val="22"/>
                <w:highlight w:val="white"/>
                <w:lang w:val="ru-RU" w:eastAsia="ru-RU" w:bidi="ru-RU"/>
              </w:rPr>
              <w:t xml:space="preserve">Подробно указаны в проекте договора подряда (в том числе в разделе № 2), который включен в состав Документации о закупке</w:t>
            </w:r>
            <w:r>
              <w:rPr>
                <w:bCs/>
                <w:i/>
                <w:sz w:val="22"/>
                <w:szCs w:val="22"/>
                <w:highlight w:val="white"/>
              </w:rPr>
            </w:r>
            <w:r>
              <w:rPr>
                <w:bCs/>
                <w:i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35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9" w:type="dxa"/>
            <w:vAlign w:val="center"/>
            <w:textDirection w:val="lrTb"/>
            <w:noWrap w:val="false"/>
          </w:tcPr>
          <w:p>
            <w:pPr>
              <w:pStyle w:val="83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результатам работ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9" w:type="dxa"/>
            <w:vAlign w:val="center"/>
            <w:textDirection w:val="lrTb"/>
            <w:noWrap w:val="false"/>
          </w:tcPr>
          <w:p>
            <w:pPr>
              <w:pStyle w:val="83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результатам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835"/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Состояние турбогенератора должно соответствовать требованиям нормативно-технической документации  в соответствии с табл. 4 п. 1.1.1. настоящих Технических требований</w:t>
            </w:r>
            <w:r>
              <w:rPr>
                <w:b/>
                <w:color w:val="ff0000"/>
                <w:sz w:val="24"/>
                <w:szCs w:val="24"/>
              </w:rPr>
            </w:r>
            <w:r>
              <w:rPr>
                <w:b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9" w:type="dxa"/>
            <w:vAlign w:val="center"/>
            <w:textDirection w:val="lrTb"/>
            <w:noWrap w:val="false"/>
          </w:tcPr>
          <w:p>
            <w:pPr>
              <w:pStyle w:val="83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порядку приемки результатов работ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835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Подробно указаны в проекте договора подряда, который включен в состав Документации о закупке.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9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/>
              <w:rPr>
                <w:i/>
                <w:iCs/>
                <w:sz w:val="22"/>
                <w:szCs w:val="22"/>
                <w:highlight w:val="white"/>
              </w:rPr>
            </w:pPr>
            <w:r>
              <w:rPr>
                <w:b/>
                <w:i/>
                <w:sz w:val="22"/>
                <w:szCs w:val="22"/>
                <w:highlight w:val="white"/>
                <w:lang w:val="ru-RU" w:eastAsia="ru-RU" w:bidi="ar-SA"/>
              </w:rPr>
              <w:t xml:space="preserve">Требования к оформлению и составу документации</w:t>
            </w:r>
            <w:r>
              <w:rPr>
                <w:i/>
                <w:iCs/>
                <w:sz w:val="22"/>
                <w:szCs w:val="22"/>
                <w:highlight w:val="white"/>
              </w:rPr>
            </w:r>
            <w:r>
              <w:rPr>
                <w:i/>
                <w:iCs/>
                <w:sz w:val="22"/>
                <w:szCs w:val="22"/>
                <w:highlight w:val="white"/>
              </w:rPr>
            </w:r>
          </w:p>
          <w:p>
            <w:pPr>
              <w:pStyle w:val="835"/>
              <w:ind w:left="27"/>
              <w:jc w:val="both"/>
              <w:spacing w:before="0" w:after="0"/>
              <w:widowControl/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Представить Заказчику электронные версии Акта КС-2 и Справки КС-3 на цифровом носителе в формате *gsfx ПК «ГРАНД Сметы», в формате *.pdf и на бумажном носителе в 2-х </w:t>
            </w: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экземплярах, акт ОС-3 на бумажном носителе в 2-х экземплярах, исполнительную документацию в электронном виде (в формате *.pdf) и на бумажном носителе в 2-х экземплярах, специальные журналы (сварочных работ, журнал АКЗ) на бумажном носителе в 1 экземпляре. </w:t>
            </w:r>
            <w:r>
              <w:rPr>
                <w:iCs/>
                <w:sz w:val="22"/>
                <w:szCs w:val="22"/>
                <w:lang w:val="ru-RU" w:eastAsia="ru-RU" w:bidi="ar-SA"/>
              </w:rPr>
              <w:t xml:space="preserve">Исполнител</w:t>
            </w:r>
            <w:r>
              <w:rPr>
                <w:iCs/>
                <w:sz w:val="22"/>
                <w:szCs w:val="22"/>
                <w:lang w:val="ru-RU" w:eastAsia="ru-RU" w:bidi="ar-SA"/>
              </w:rPr>
              <w:t xml:space="preserve">ьная документация должна быть оформлена в соответствии с Приказом АО «ДГК»  от 28.10.2024 №762 «О присоединении к Методическим указаниям по организации технического обслуживания и ремонта основного и вспомогательного оборудования, зданий и сооружений тепло</w:t>
            </w:r>
            <w:r>
              <w:rPr>
                <w:iCs/>
                <w:sz w:val="22"/>
                <w:szCs w:val="22"/>
                <w:lang w:val="ru-RU" w:eastAsia="ru-RU" w:bidi="ar-SA"/>
              </w:rPr>
              <w:t xml:space="preserve">в</w:t>
            </w:r>
            <w:r>
              <w:rPr>
                <w:iCs/>
                <w:sz w:val="22"/>
                <w:szCs w:val="22"/>
                <w:lang w:val="ru-RU" w:eastAsia="ru-RU" w:bidi="ar-SA"/>
              </w:rPr>
              <w:t xml:space="preserve">ых электростанций», 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перевооружения.», утвержденным приказом № 555 от 29.11.2019 г. АО «ДГК» (Приложение №5 к ТТ).</w:t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  <w:p>
            <w:pPr>
              <w:pStyle w:val="835"/>
              <w:ind w:left="27"/>
              <w:jc w:val="both"/>
              <w:spacing w:before="0" w:after="0"/>
              <w:widowControl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Подрядчик одновременно с передачей актов приемки выполненных работ по форме КС-2 обязан оформить и передать Заказчику сдаточную документацию: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pStyle w:val="955"/>
              <w:numPr>
                <w:ilvl w:val="0"/>
                <w:numId w:val="8"/>
              </w:numPr>
              <w:contextualSpacing/>
              <w:ind w:left="0" w:firstLine="360"/>
              <w:jc w:val="both"/>
              <w:spacing w:before="0" w:after="0"/>
              <w:widowControl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акт пред. ремонтного обследования объекта;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pStyle w:val="955"/>
              <w:numPr>
                <w:ilvl w:val="0"/>
                <w:numId w:val="8"/>
              </w:numPr>
              <w:contextualSpacing/>
              <w:ind w:left="0" w:firstLine="360"/>
              <w:jc w:val="both"/>
              <w:spacing w:before="0" w:after="0"/>
              <w:widowControl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ведомость планируемых ремонтных работ;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pStyle w:val="955"/>
              <w:numPr>
                <w:ilvl w:val="0"/>
                <w:numId w:val="8"/>
              </w:numPr>
              <w:contextualSpacing/>
              <w:ind w:left="0" w:firstLine="360"/>
              <w:jc w:val="both"/>
              <w:spacing w:before="0" w:after="0"/>
              <w:widowControl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акт готовности объекта к производству ремонтных работ;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pStyle w:val="955"/>
              <w:numPr>
                <w:ilvl w:val="0"/>
                <w:numId w:val="8"/>
              </w:numPr>
              <w:contextualSpacing/>
              <w:ind w:left="0" w:firstLine="360"/>
              <w:jc w:val="both"/>
              <w:spacing w:before="0" w:after="0"/>
              <w:widowControl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акт приёмки из ремонта оборудования;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pStyle w:val="955"/>
              <w:numPr>
                <w:ilvl w:val="0"/>
                <w:numId w:val="8"/>
              </w:numPr>
              <w:contextualSpacing/>
              <w:ind w:left="0" w:firstLine="360"/>
              <w:jc w:val="both"/>
              <w:spacing w:before="0" w:after="0"/>
              <w:widowControl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 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pStyle w:val="955"/>
              <w:numPr>
                <w:ilvl w:val="0"/>
                <w:numId w:val="9"/>
              </w:numPr>
              <w:contextualSpacing/>
              <w:ind w:left="0" w:firstLine="360"/>
              <w:jc w:val="both"/>
              <w:spacing w:before="0" w:after="0"/>
              <w:widowControl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pStyle w:val="955"/>
              <w:numPr>
                <w:ilvl w:val="0"/>
                <w:numId w:val="9"/>
              </w:numPr>
              <w:contextualSpacing/>
              <w:ind w:left="0" w:firstLine="360"/>
              <w:jc w:val="both"/>
              <w:spacing w:before="0" w:after="0"/>
              <w:widowControl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счета-фактуры на материалы, закупаемые Подрядчиком для использования в процессе ремонта;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pStyle w:val="955"/>
              <w:numPr>
                <w:ilvl w:val="0"/>
                <w:numId w:val="9"/>
              </w:numPr>
              <w:contextualSpacing/>
              <w:ind w:left="0" w:firstLine="360"/>
              <w:jc w:val="both"/>
              <w:spacing w:before="0" w:after="0"/>
              <w:widowControl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общий журнал работ формы КС-6, специальные журналы работ (соответствующие видам выполняемых работ);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pStyle w:val="955"/>
              <w:numPr>
                <w:ilvl w:val="0"/>
                <w:numId w:val="9"/>
              </w:numPr>
              <w:contextualSpacing/>
              <w:ind w:left="0" w:firstLine="360"/>
              <w:jc w:val="both"/>
              <w:spacing w:before="0" w:after="0"/>
              <w:widowControl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документы о контроле качества сварных соединений, оформленных в соответствии с</w:t>
            </w:r>
            <w:r>
              <w:rPr>
                <w:lang w:val="ru-RU" w:eastAsia="ru-RU" w:bidi="ar-SA"/>
              </w:rPr>
              <w:t xml:space="preserve"> </w:t>
            </w:r>
            <w:r>
              <w:rPr>
                <w:iCs/>
                <w:sz w:val="22"/>
                <w:szCs w:val="22"/>
                <w:lang w:val="ru-RU" w:eastAsia="ru-RU" w:bidi="ar-SA"/>
              </w:rPr>
              <w:t xml:space="preserve">Регламентом оформления документации при проведении сварочных работ при монтаже и ремонте оборудования объектов АО «ДГК» (Приложение №5 к ТТ)</w:t>
            </w:r>
            <w:r>
              <w:rPr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;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  <w:p>
            <w:pPr>
              <w:pStyle w:val="835"/>
              <w:jc w:val="both"/>
              <w:spacing w:before="0" w:after="0"/>
              <w:widowControl/>
              <w:rPr>
                <w:b/>
                <w:i/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0"/>
                <w:szCs w:val="20"/>
                <w:highlight w:val="white"/>
                <w:lang w:val="ru-RU" w:eastAsia="ru-RU" w:bidi="ar-SA"/>
              </w:rPr>
              <w:t xml:space="preserve">Более подробно требования к оформлению документации  указаны в проекте договора подряда (в том числе в разделах №2,4), который включен в состав Документации о закупке</w:t>
            </w:r>
            <w:r>
              <w:rPr>
                <w:i/>
                <w:iCs/>
                <w:sz w:val="22"/>
                <w:szCs w:val="22"/>
                <w:highlight w:val="white"/>
                <w:lang w:val="ru-RU" w:eastAsia="ru-RU" w:bidi="ar-SA"/>
              </w:rPr>
              <w:t xml:space="preserve">.</w:t>
            </w:r>
            <w:r>
              <w:rPr>
                <w:b/>
                <w:i/>
                <w:sz w:val="22"/>
                <w:szCs w:val="22"/>
                <w:highlight w:val="white"/>
              </w:rPr>
            </w:r>
            <w:r>
              <w:rPr>
                <w:b/>
                <w:i/>
                <w:sz w:val="22"/>
                <w:szCs w:val="22"/>
                <w:highlight w:val="white"/>
              </w:rPr>
            </w:r>
          </w:p>
          <w:p>
            <w:pPr>
              <w:pStyle w:val="835"/>
              <w:ind w:firstLine="523"/>
              <w:jc w:val="both"/>
              <w:spacing w:before="0" w:after="0"/>
              <w:widowControl/>
              <w:rPr>
                <w:bCs/>
                <w:i/>
                <w:sz w:val="22"/>
                <w:szCs w:val="22"/>
                <w:highlight w:val="white"/>
              </w:rPr>
            </w:pPr>
            <w:r>
              <w:rPr>
                <w:bCs/>
                <w:i/>
                <w:sz w:val="22"/>
                <w:szCs w:val="22"/>
                <w:highlight w:val="white"/>
              </w:rPr>
            </w:r>
            <w:r>
              <w:rPr>
                <w:bCs/>
                <w:i/>
                <w:sz w:val="22"/>
                <w:szCs w:val="22"/>
                <w:highlight w:val="white"/>
              </w:rPr>
            </w:r>
            <w:r>
              <w:rPr>
                <w:bCs/>
                <w:i/>
                <w:sz w:val="22"/>
                <w:szCs w:val="22"/>
                <w:highlight w:val="white"/>
              </w:rPr>
            </w:r>
          </w:p>
          <w:p>
            <w:pPr>
              <w:pStyle w:val="835"/>
              <w:ind w:firstLine="5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9" w:type="dxa"/>
            <w:vAlign w:val="center"/>
            <w:textDirection w:val="lrTb"/>
            <w:noWrap w:val="false"/>
          </w:tcPr>
          <w:p>
            <w:pPr>
              <w:pStyle w:val="835"/>
              <w:spacing w:before="4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55"/>
              <w:numPr>
                <w:ilvl w:val="0"/>
                <w:numId w:val="4"/>
              </w:numPr>
              <w:contextualSpacing/>
              <w:ind w:left="0" w:firstLine="349"/>
              <w:jc w:val="both"/>
              <w:spacing w:before="40" w:after="0"/>
            </w:pPr>
            <w:r>
              <w:t xml:space="preserve">Перечень национальных стандартов и сводов правил (частей таких стандартов и </w:t>
            </w:r>
            <w:r>
              <w:t xml:space="preserve">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 (утверждены Постановлением Правительства РФ от 06 мая 2024 г. №589 );</w:t>
            </w:r>
            <w:r/>
          </w:p>
          <w:p>
            <w:pPr>
              <w:pStyle w:val="955"/>
              <w:numPr>
                <w:ilvl w:val="0"/>
                <w:numId w:val="4"/>
              </w:numPr>
              <w:contextualSpacing/>
              <w:ind w:left="0" w:firstLine="349"/>
              <w:jc w:val="both"/>
              <w:spacing w:before="40" w:after="0"/>
            </w:pPr>
            <w:r>
              <w:t xml:space="preserve">Федеральный законом «О техническом регулировании» №184- ФЗ от 27.12.2002;</w:t>
            </w:r>
            <w:r/>
          </w:p>
          <w:p>
            <w:pPr>
              <w:pStyle w:val="835"/>
              <w:jc w:val="both"/>
              <w:spacing w:before="4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- "Правила промышленной безопасности при использовании оборудования, работающего под избыточным давлением" утвержденные приказом Федеральной службой по экологическому, технологическому и атомному надзору от 15.12.2020 г. № 536.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both"/>
              <w:spacing w:before="4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9" w:type="dxa"/>
            <w:vAlign w:val="center"/>
            <w:textDirection w:val="lrTb"/>
            <w:noWrap w:val="false"/>
          </w:tcPr>
          <w:p>
            <w:pPr>
              <w:pStyle w:val="835"/>
              <w:jc w:val="both"/>
              <w:spacing w:before="20" w:after="0"/>
              <w:widowControl/>
              <w:rPr>
                <w:b/>
                <w:sz w:val="22"/>
                <w:szCs w:val="22"/>
              </w:rPr>
            </w:pPr>
            <w:r>
              <w:rPr>
                <w:b/>
                <w:i w:val="0"/>
                <w:iCs w:val="0"/>
                <w:sz w:val="22"/>
                <w:szCs w:val="22"/>
                <w:lang w:val="ru-RU" w:eastAsia="ru-RU" w:bidi="ar-SA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835"/>
              <w:jc w:val="both"/>
              <w:spacing w:before="20" w:after="0"/>
              <w:widowControl/>
              <w:rPr>
                <w:b/>
                <w:i/>
                <w:sz w:val="22"/>
                <w:szCs w:val="22"/>
              </w:rPr>
            </w:pPr>
            <w:r>
              <w:rPr>
                <w:rFonts w:eastAsia="Courier New"/>
                <w:i w:val="0"/>
                <w:iCs w:val="0"/>
                <w:color w:val="000000"/>
                <w:sz w:val="22"/>
                <w:szCs w:val="22"/>
                <w:lang w:val="ru-RU" w:eastAsia="ru-RU" w:bidi="ru-RU"/>
              </w:rPr>
              <w:t xml:space="preserve">Подробно требования к сроку и объему предоставления гарантий указаны в проекте договора подряда </w:t>
            </w:r>
            <w:r>
              <w:rPr>
                <w:rFonts w:eastAsia="Courier New"/>
                <w:i w:val="0"/>
                <w:iCs w:val="0"/>
                <w:color w:val="000000"/>
                <w:sz w:val="22"/>
                <w:szCs w:val="22"/>
                <w:lang w:val="ru-RU" w:eastAsia="ru-RU" w:bidi="ru-RU"/>
              </w:rPr>
              <w:t xml:space="preserve">(в том числе в разделе № 6,7</w:t>
            </w:r>
            <w:r>
              <w:rPr>
                <w:rFonts w:eastAsia="Courier New"/>
                <w:i w:val="0"/>
                <w:iCs w:val="0"/>
                <w:color w:val="000000"/>
                <w:sz w:val="22"/>
                <w:szCs w:val="22"/>
                <w:lang w:val="ru-RU" w:eastAsia="ru-RU" w:bidi="ru-RU"/>
              </w:rPr>
              <w:t xml:space="preserve">), который включен в состав Документации о закупке.</w:t>
            </w:r>
            <w:r>
              <w:rPr>
                <w:b/>
                <w:i/>
                <w:sz w:val="22"/>
                <w:szCs w:val="22"/>
              </w:rPr>
            </w:r>
            <w:r>
              <w:rPr>
                <w:b/>
                <w:i/>
                <w:sz w:val="22"/>
                <w:szCs w:val="22"/>
              </w:rPr>
            </w:r>
          </w:p>
          <w:p>
            <w:pPr>
              <w:pStyle w:val="835"/>
              <w:jc w:val="both"/>
              <w:spacing w:before="2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835"/>
        <w:jc w:val="center"/>
        <w:rPr>
          <w:b/>
          <w:i/>
          <w:sz w:val="24"/>
          <w:szCs w:val="24"/>
        </w:rPr>
        <w:sectPr>
          <w:headerReference w:type="default" r:id="rId11"/>
          <w:headerReference w:type="first" r:id="rId12"/>
          <w:footerReference w:type="default" r:id="rId16"/>
          <w:footerReference w:type="first" r:id="rId17"/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1701" w:equalWidth="1"/>
          <w:docGrid w:linePitch="360"/>
          <w:titlePg/>
        </w:sect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836"/>
        <w:ind w:left="0" w:firstLine="0"/>
        <w:jc w:val="center"/>
        <w:keepLines/>
      </w:pPr>
      <w:r/>
      <w:bookmarkStart w:id="26" w:name="_Toc54646411"/>
      <w:r/>
      <w:bookmarkStart w:id="27" w:name="_Toc53393312"/>
      <w:r>
        <w:t xml:space="preserve">3. Требования к документации по ценообразованию</w:t>
      </w:r>
      <w:bookmarkEnd w:id="27"/>
      <w:r>
        <w:t xml:space="preserve"> на этапе закупки</w:t>
      </w:r>
      <w:bookmarkEnd w:id="26"/>
      <w:r/>
      <w:r/>
    </w:p>
    <w:p>
      <w:pPr>
        <w:pStyle w:val="835"/>
      </w:pPr>
      <w:r/>
      <w:r/>
    </w:p>
    <w:p>
      <w:pPr>
        <w:pStyle w:val="839"/>
        <w:ind w:left="425" w:firstLine="0"/>
        <w:jc w:val="both"/>
        <w:tabs>
          <w:tab w:val="clear" w:pos="1440" w:leader="none"/>
        </w:tabs>
        <w:rPr>
          <w:b w:val="0"/>
          <w:bCs w:val="0"/>
        </w:rPr>
      </w:pPr>
      <w:r>
        <w:rPr>
          <w:b w:val="0"/>
          <w:bCs w:val="0"/>
        </w:rPr>
        <w:t xml:space="preserve">3.1. В обоснование стоимости своей заявки Участник предоставляет Комм</w:t>
      </w:r>
      <w:r>
        <w:rPr>
          <w:b w:val="0"/>
          <w:bCs w:val="0"/>
        </w:rPr>
        <w:t xml:space="preserve">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коэффициента, величину данного коэффициента рекомендуется учитывать с округлением до 7 знаков после запятой).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9"/>
        <w:ind w:left="425" w:firstLine="0"/>
        <w:jc w:val="both"/>
        <w:tabs>
          <w:tab w:val="left" w:pos="425" w:leader="none"/>
          <w:tab w:val="clear" w:pos="1440" w:leader="none"/>
        </w:tabs>
        <w:rPr>
          <w:b w:val="0"/>
        </w:rPr>
      </w:pPr>
      <w:r>
        <w:rPr>
          <w:b w:val="0"/>
          <w:bCs w:val="0"/>
        </w:rPr>
        <w:t xml:space="preserve">3.2.</w:t>
      </w:r>
      <w:r>
        <w:t xml:space="preserve">  </w:t>
      </w:r>
      <w:r>
        <w:rPr>
          <w:b w:val="0"/>
        </w:rPr>
        <w:t xml:space="preserve">Дополнительные документы по ценообразованию (сметная документация) в состав заявки Участника не включаются.</w:t>
      </w:r>
      <w:bookmarkEnd w:id="4"/>
      <w:r>
        <w:rPr>
          <w:b w:val="0"/>
        </w:rPr>
      </w:r>
      <w:r>
        <w:rPr>
          <w:b w:val="0"/>
        </w:rPr>
      </w:r>
    </w:p>
    <w:p>
      <w:pPr>
        <w:pStyle w:val="835"/>
      </w:pPr>
      <w:r/>
      <w:r/>
    </w:p>
    <w:p>
      <w:pPr>
        <w:pStyle w:val="835"/>
      </w:pPr>
      <w:r/>
      <w:r/>
    </w:p>
    <w:p>
      <w:pPr>
        <w:pStyle w:val="955"/>
        <w:ind w:left="0"/>
        <w:jc w:val="both"/>
        <w:shd w:val="clear" w:color="auto" w:fill="ffffff"/>
        <w:tabs>
          <w:tab w:val="clear" w:pos="708" w:leader="none"/>
          <w:tab w:val="left" w:pos="1418" w:leader="none"/>
        </w:tabs>
      </w:pPr>
      <w:r/>
      <w:r/>
    </w:p>
    <w:p>
      <w:pPr>
        <w:pStyle w:val="836"/>
        <w:ind w:left="357" w:firstLine="0"/>
        <w:keepLines/>
        <w:rPr>
          <w:iCs/>
        </w:rPr>
      </w:pPr>
      <w:r>
        <w:rPr>
          <w:iCs/>
        </w:rPr>
      </w:r>
      <w:r>
        <w:rPr>
          <w:iCs/>
        </w:rPr>
      </w:r>
      <w:r>
        <w:rPr>
          <w:iCs/>
        </w:rPr>
      </w:r>
    </w:p>
    <w:p>
      <w:pPr>
        <w:pStyle w:val="835"/>
        <w:rPr>
          <w:rFonts w:eastAsia="Calibri"/>
          <w:b/>
          <w:iCs/>
        </w:rPr>
      </w:pPr>
      <w:r>
        <w:rPr>
          <w:rFonts w:eastAsia="Calibri"/>
          <w:b/>
          <w:iCs/>
        </w:rPr>
      </w:r>
      <w:r>
        <w:br w:type="page" w:clear="all"/>
      </w:r>
      <w:r>
        <w:rPr>
          <w:rFonts w:eastAsia="Calibri"/>
          <w:b/>
          <w:iCs/>
        </w:rPr>
      </w:r>
      <w:r>
        <w:rPr>
          <w:rFonts w:eastAsia="Calibri"/>
          <w:b/>
          <w:iCs/>
        </w:rPr>
      </w:r>
    </w:p>
    <w:p>
      <w:pPr>
        <w:pStyle w:val="836"/>
        <w:ind w:left="0" w:firstLine="0"/>
        <w:jc w:val="center"/>
        <w:keepLines/>
        <w:spacing w:before="0" w:after="60"/>
      </w:pPr>
      <w:r/>
      <w:bookmarkStart w:id="28" w:name="_Toc54646412"/>
      <w:r>
        <w:t xml:space="preserve">4. Требования к документации по ценообразованию на этапе заключения (исполнения) договора</w:t>
      </w:r>
      <w:bookmarkEnd w:id="28"/>
      <w:r/>
      <w:r/>
    </w:p>
    <w:p>
      <w:pPr>
        <w:pStyle w:val="839"/>
        <w:ind w:left="284" w:firstLine="0"/>
        <w:jc w:val="both"/>
        <w:tabs>
          <w:tab w:val="clear" w:pos="1440" w:leader="none"/>
        </w:tabs>
        <w:rPr>
          <w:bCs w:val="0"/>
        </w:rPr>
      </w:pPr>
      <w:r>
        <w:rPr>
          <w:b w:val="0"/>
        </w:rPr>
        <w:t xml:space="preserve">4.1.</w:t>
      </w:r>
      <w:r>
        <w:tab/>
      </w:r>
      <w:r>
        <w:rPr>
          <w:b w:val="0"/>
          <w:bCs w:val="0"/>
        </w:rPr>
        <w:t xml:space="preserve">Требования к составлению сметной документации (при заключении договора):</w:t>
      </w:r>
      <w:r>
        <w:rPr>
          <w:bCs w:val="0"/>
        </w:rPr>
      </w:r>
      <w:r>
        <w:rPr>
          <w:bCs w:val="0"/>
        </w:rPr>
      </w:r>
    </w:p>
    <w:p>
      <w:pPr>
        <w:pStyle w:val="839"/>
        <w:ind w:left="284" w:firstLine="0"/>
        <w:jc w:val="both"/>
        <w:tabs>
          <w:tab w:val="left" w:pos="993" w:leader="none"/>
          <w:tab w:val="clear" w:pos="1440" w:leader="none"/>
        </w:tabs>
        <w:rPr>
          <w:bCs w:val="0"/>
        </w:rPr>
      </w:pPr>
      <w:r>
        <w:rPr>
          <w:b w:val="0"/>
          <w:bCs w:val="0"/>
        </w:rPr>
        <w:t xml:space="preserve">4.1.1.</w:t>
        <w:tab/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№1 к настоящим Техническим требованиям, и включается в состав договора с применением</w:t>
      </w:r>
      <w:r>
        <w:rPr>
          <w:b w:val="0"/>
          <w:bCs w:val="0"/>
        </w:rPr>
        <w:t xml:space="preserve">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  <w:r>
        <w:t xml:space="preserve"> </w:t>
      </w:r>
      <w:r>
        <w:rPr>
          <w:bCs w:val="0"/>
        </w:rPr>
      </w:r>
      <w:r>
        <w:rPr>
          <w:bCs w:val="0"/>
        </w:rPr>
      </w:r>
    </w:p>
    <w:p>
      <w:pPr>
        <w:pStyle w:val="839"/>
        <w:ind w:left="284" w:firstLine="0"/>
        <w:jc w:val="both"/>
        <w:tabs>
          <w:tab w:val="left" w:pos="993" w:leader="none"/>
          <w:tab w:val="clear" w:pos="1440" w:leader="none"/>
        </w:tabs>
        <w:rPr>
          <w:bCs w:val="0"/>
        </w:rPr>
      </w:pPr>
      <w:r>
        <w:rPr>
          <w:b w:val="0"/>
          <w:bCs w:val="0"/>
        </w:rPr>
        <w:t xml:space="preserve">4.1.2.</w:t>
        <w:tab/>
        <w:t xml:space="preserve">Внесение изменений в сметную документацию заказчика, кроме применения понижающего коэффициента в соответствии с п.4.1.1, не допускается.</w:t>
      </w:r>
      <w:r>
        <w:rPr>
          <w:bCs w:val="0"/>
        </w:rPr>
      </w:r>
      <w:r>
        <w:rPr>
          <w:bCs w:val="0"/>
        </w:rPr>
      </w:r>
    </w:p>
    <w:p>
      <w:pPr>
        <w:pStyle w:val="835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9"/>
        <w:ind w:left="1276" w:hanging="425"/>
        <w:jc w:val="both"/>
        <w:tabs>
          <w:tab w:val="clear" w:pos="1440" w:leader="none"/>
        </w:tabs>
        <w:rPr>
          <w:b w:val="0"/>
          <w:i/>
        </w:rPr>
      </w:pPr>
      <w:r>
        <w:rPr>
          <w:b w:val="0"/>
          <w:i/>
        </w:rPr>
      </w:r>
      <w:r>
        <w:rPr>
          <w:b w:val="0"/>
          <w:i/>
        </w:rPr>
      </w:r>
      <w:r>
        <w:rPr>
          <w:b w:val="0"/>
          <w:i/>
        </w:rPr>
      </w:r>
    </w:p>
    <w:p>
      <w:pPr>
        <w:pStyle w:val="839"/>
        <w:ind w:left="0" w:firstLine="0"/>
        <w:jc w:val="both"/>
        <w:tabs>
          <w:tab w:val="clear" w:pos="1440" w:leader="none"/>
        </w:tabs>
        <w:rPr>
          <w:b w:val="0"/>
          <w:bCs w:val="0"/>
          <w:i/>
          <w:iCs/>
          <w:sz w:val="22"/>
          <w:szCs w:val="22"/>
        </w:rPr>
      </w:pPr>
      <w:r>
        <w:rPr>
          <w:b w:val="0"/>
          <w:bCs w:val="0"/>
          <w:i/>
          <w:iCs/>
          <w:sz w:val="22"/>
          <w:szCs w:val="22"/>
        </w:rPr>
      </w:r>
      <w:r>
        <w:br w:type="page" w:clear="all"/>
      </w:r>
      <w:r>
        <w:rPr>
          <w:b w:val="0"/>
          <w:bCs w:val="0"/>
          <w:i/>
          <w:iCs/>
          <w:sz w:val="22"/>
          <w:szCs w:val="22"/>
        </w:rPr>
      </w:r>
      <w:r>
        <w:rPr>
          <w:b w:val="0"/>
          <w:bCs w:val="0"/>
          <w:i/>
          <w:iCs/>
          <w:sz w:val="22"/>
          <w:szCs w:val="22"/>
        </w:rPr>
      </w:r>
    </w:p>
    <w:p>
      <w:pPr>
        <w:pStyle w:val="836"/>
        <w:ind w:left="0" w:firstLine="0"/>
        <w:jc w:val="center"/>
        <w:keepLines/>
        <w:spacing w:before="0" w:after="60"/>
        <w:rPr>
          <w:iCs/>
          <w:caps/>
        </w:rPr>
      </w:pPr>
      <w:r/>
      <w:bookmarkStart w:id="29" w:name="_Toc51339699"/>
      <w:r/>
      <w:bookmarkStart w:id="30" w:name="_Toc46743519"/>
      <w:r/>
      <w:bookmarkStart w:id="31" w:name="_Toc54646413"/>
      <w:r>
        <w:rPr>
          <w:iCs/>
        </w:rPr>
        <w:t xml:space="preserve">5. Приложения</w:t>
      </w:r>
      <w:bookmarkEnd w:id="29"/>
      <w:r/>
      <w:bookmarkEnd w:id="30"/>
      <w:r/>
      <w:bookmarkEnd w:id="31"/>
      <w:r>
        <w:rPr>
          <w:iCs/>
          <w:caps/>
        </w:rPr>
      </w:r>
      <w:r>
        <w:rPr>
          <w:iCs/>
          <w:caps/>
        </w:rPr>
      </w:r>
    </w:p>
    <w:p>
      <w:pPr>
        <w:pStyle w:val="835"/>
        <w:jc w:val="both"/>
        <w:spacing w:before="60" w:after="0"/>
        <w:widowControl w:val="off"/>
        <w:tabs>
          <w:tab w:val="left" w:pos="426" w:leader="none"/>
          <w:tab w:val="clear" w:pos="708" w:leader="none"/>
        </w:tabs>
        <w:rPr>
          <w:rStyle w:val="896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896"/>
          <w:b w:val="0"/>
          <w:bCs/>
          <w:iCs/>
          <w:sz w:val="24"/>
          <w:szCs w:val="24"/>
        </w:rPr>
      </w:r>
      <w:r>
        <w:rPr>
          <w:rStyle w:val="896"/>
          <w:b w:val="0"/>
          <w:bCs/>
          <w:iCs/>
          <w:sz w:val="24"/>
          <w:szCs w:val="24"/>
        </w:rPr>
      </w:r>
    </w:p>
    <w:p>
      <w:pPr>
        <w:pStyle w:val="835"/>
        <w:spacing w:line="276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1.1</w:t>
      </w:r>
      <w:r>
        <w:rPr>
          <w:sz w:val="24"/>
          <w:szCs w:val="24"/>
        </w:rPr>
        <w:t xml:space="preserve">.-1.2. ВОР - СР ТГ-1 типа ТВФ 60-2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35"/>
        <w:spacing w:line="276" w:lineRule="auto"/>
      </w:pPr>
      <w:r>
        <w:rPr>
          <w:sz w:val="24"/>
          <w:szCs w:val="24"/>
        </w:rPr>
        <w:t xml:space="preserve">Приложение № 2. Ведомость материалов Заказчика.</w:t>
      </w:r>
      <w:r/>
    </w:p>
    <w:p>
      <w:pPr>
        <w:pStyle w:val="835"/>
        <w:spacing w:line="276" w:lineRule="auto"/>
      </w:pPr>
      <w:r>
        <w:rPr>
          <w:sz w:val="24"/>
          <w:szCs w:val="24"/>
        </w:rPr>
        <w:t xml:space="preserve">Приложение № 3. Сводный сметный расчет с приложениями локальные сметы №№ 3.1-3.2.</w:t>
      </w:r>
      <w:r>
        <w:rPr>
          <w:highlight w:val="none"/>
        </w:rPr>
      </w:r>
      <w:r/>
    </w:p>
    <w:p>
      <w:pPr>
        <w:spacing w:line="276" w:lineRule="auto"/>
      </w:pPr>
      <w:r>
        <w:rPr>
          <w:highlight w:val="none"/>
        </w:rPr>
      </w:r>
      <w:r>
        <w:rPr>
          <w:sz w:val="24"/>
          <w:szCs w:val="24"/>
        </w:rPr>
        <w:t xml:space="preserve">Приложение № 4. Требования к  составлению сметной документации.</w:t>
      </w:r>
      <w:r>
        <w:rPr>
          <w:highlight w:val="none"/>
        </w:rPr>
      </w:r>
      <w:r/>
    </w:p>
    <w:p>
      <w:pPr>
        <w:pStyle w:val="835"/>
        <w:jc w:val="both"/>
        <w:spacing w:before="0" w:after="120"/>
        <w:rPr>
          <w:sz w:val="24"/>
          <w:szCs w:val="24"/>
        </w:rPr>
      </w:pPr>
      <w:r>
        <w:rPr>
          <w:sz w:val="24"/>
          <w:szCs w:val="24"/>
        </w:rPr>
        <w:t xml:space="preserve">Приложение № 5. </w:t>
      </w:r>
      <w:r>
        <w:rPr>
          <w:bCs/>
          <w:sz w:val="24"/>
          <w:szCs w:val="24"/>
        </w:rPr>
        <w:t xml:space="preserve">Локальные нормативные акты ДГК.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jc w:val="both"/>
        <w:spacing w:before="0" w:after="120" w:line="276" w:lineRule="auto"/>
      </w:pPr>
      <w:r/>
      <w:r/>
    </w:p>
    <w:p>
      <w:pPr>
        <w:pStyle w:val="835"/>
        <w:jc w:val="both"/>
        <w:spacing w:before="0" w:after="12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35"/>
      </w:pPr>
      <w:r/>
      <w:r/>
    </w:p>
    <w:p>
      <w:pPr>
        <w:pStyle w:val="835"/>
        <w:jc w:val="both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35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35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35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35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35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35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35"/>
        <w:jc w:val="both"/>
        <w:spacing w:before="0" w:after="120"/>
      </w:pPr>
      <w:r/>
      <w:r/>
    </w:p>
    <w:p>
      <w:pPr>
        <w:pStyle w:val="835"/>
        <w:jc w:val="both"/>
        <w:spacing w:before="0" w:after="120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835"/>
        <w:ind w:firstLine="709"/>
      </w:pPr>
      <w:r/>
      <w:r/>
    </w:p>
    <w:p>
      <w:pPr>
        <w:pStyle w:val="835"/>
      </w:pPr>
      <w:r/>
      <w:r/>
    </w:p>
    <w:p>
      <w:pPr>
        <w:pStyle w:val="835"/>
      </w:pPr>
      <w:r/>
      <w:r/>
    </w:p>
    <w:p>
      <w:pPr>
        <w:pStyle w:val="835"/>
      </w:pPr>
      <w:r/>
      <w:r/>
    </w:p>
    <w:p>
      <w:pPr>
        <w:pStyle w:val="835"/>
        <w:rPr>
          <w:rStyle w:val="896"/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</w:r>
      <w:r>
        <w:rPr>
          <w:rStyle w:val="896"/>
          <w:bCs/>
          <w:caps/>
          <w:sz w:val="24"/>
          <w:szCs w:val="24"/>
        </w:rPr>
      </w:r>
      <w:r>
        <w:rPr>
          <w:rStyle w:val="896"/>
          <w:bCs/>
          <w:caps/>
          <w:sz w:val="24"/>
          <w:szCs w:val="24"/>
        </w:rPr>
      </w:r>
    </w:p>
    <w:sectPr>
      <w:headerReference w:type="default" r:id="rId13"/>
      <w:headerReference w:type="first" r:id="rId14"/>
      <w:footerReference w:type="default" r:id="rId18"/>
      <w:footerReference w:type="first" r:id="rId19"/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WenQuanYi Micro Hei">
    <w:panose1 w:val="020B0606030804020204"/>
  </w:font>
  <w:font w:name="Open Sans">
    <w:panose1 w:val="020B060603050402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5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929"/>
                            <w:rPr>
                              <w:rStyle w:val="867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67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867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867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867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867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67"/>
                            </w:rPr>
                          </w:r>
                          <w:r>
                            <w:rPr>
                              <w:rStyle w:val="867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929"/>
                      <w:rPr>
                        <w:rStyle w:val="867"/>
                      </w:rPr>
                    </w:pPr>
                    <w:r>
                      <w:rPr>
                        <w:color w:val="000000"/>
                      </w:rPr>
                      <w:fldChar w:fldCharType="begin"/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867"/>
                        <w:color w:val="000000"/>
                      </w:rPr>
                      <w:fldChar w:fldCharType="begin"/>
                    </w:r>
                    <w:r>
                      <w:rPr>
                        <w:rStyle w:val="867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867"/>
                        <w:color w:val="000000"/>
                      </w:rPr>
                      <w:fldChar w:fldCharType="separate"/>
                    </w:r>
                    <w:r>
                      <w:rPr>
                        <w:rStyle w:val="867"/>
                        <w:color w:val="000000"/>
                      </w:rPr>
                      <w:t xml:space="preserve">0</w:t>
                    </w:r>
                    <w:r>
                      <w:rPr>
                        <w:rStyle w:val="867"/>
                        <w:color w:val="000000"/>
                      </w:rPr>
                      <w:fldChar w:fldCharType="end"/>
                    </w:r>
                    <w:r>
                      <w:rPr>
                        <w:rStyle w:val="867"/>
                      </w:rPr>
                    </w:r>
                    <w:r>
                      <w:rPr>
                        <w:rStyle w:val="867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15</w:t>
    </w:r>
    <w:r>
      <w:fldChar w:fldCharType="end"/>
    </w:r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5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18</w:t>
    </w:r>
    <w:r>
      <w:fldChar w:fldCharType="end"/>
    </w:r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pStyle w:val="838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pStyle w:val="973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pStyle w:val="974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pStyle w:val="977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pStyle w:val="975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pStyle w:val="976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6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  <w:tabs>
          <w:tab w:val="num" w:pos="0" w:leader="none"/>
        </w:tabs>
      </w:pPr>
      <w:rPr>
        <w:rFonts w:hint="default" w:ascii="Symbol" w:hAnsi="Symbol" w:cs="Symbol"/>
        <w:color w:val="000000"/>
        <w:sz w:val="20"/>
        <w:highlight w:val="white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Times New Roman" w:hAnsi="Times New Roman" w:cs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Times New Roman" w:hAnsi="Times New Roman" w:cs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35" w:default="1">
    <w:name w:val="Normal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8"/>
      <w:szCs w:val="28"/>
      <w:lang w:val="ru-RU" w:eastAsia="ru-RU" w:bidi="ar-SA"/>
    </w:rPr>
  </w:style>
  <w:style w:type="paragraph" w:styleId="836">
    <w:name w:val="Heading 1"/>
    <w:basedOn w:val="838"/>
    <w:qFormat/>
    <w:pPr>
      <w:numPr>
        <w:ilvl w:val="0"/>
        <w:numId w:val="0"/>
      </w:numPr>
      <w:outlineLvl w:val="0"/>
    </w:pPr>
    <w:rPr>
      <w:sz w:val="28"/>
      <w:szCs w:val="28"/>
    </w:rPr>
  </w:style>
  <w:style w:type="paragraph" w:styleId="837">
    <w:name w:val="Heading 2"/>
    <w:basedOn w:val="839"/>
    <w:qFormat/>
    <w:pPr>
      <w:outlineLvl w:val="1"/>
    </w:pPr>
  </w:style>
  <w:style w:type="paragraph" w:styleId="838">
    <w:name w:val="Heading 3"/>
    <w:basedOn w:val="835"/>
    <w:qFormat/>
    <w:pPr>
      <w:numPr>
        <w:ilvl w:val="2"/>
        <w:numId w:val="1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39">
    <w:name w:val="Heading 4"/>
    <w:basedOn w:val="838"/>
    <w:qFormat/>
    <w:pPr>
      <w:numPr>
        <w:ilvl w:val="0"/>
        <w:numId w:val="0"/>
      </w:numPr>
      <w:ind w:left="1440" w:hanging="720"/>
      <w:tabs>
        <w:tab w:val="clear" w:pos="708" w:leader="none"/>
        <w:tab w:val="left" w:pos="1440" w:leader="none"/>
      </w:tabs>
      <w:outlineLvl w:val="3"/>
    </w:pPr>
    <w:rPr>
      <w:bCs/>
    </w:rPr>
  </w:style>
  <w:style w:type="paragraph" w:styleId="840">
    <w:name w:val="Heading 5"/>
    <w:basedOn w:val="83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41">
    <w:name w:val="Heading 6"/>
    <w:basedOn w:val="835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42">
    <w:name w:val="Heading 7"/>
    <w:basedOn w:val="835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43">
    <w:name w:val="Heading 8"/>
    <w:basedOn w:val="835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844">
    <w:name w:val="Heading 9"/>
    <w:basedOn w:val="83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45" w:default="1">
    <w:name w:val="Default Paragraph Font"/>
    <w:uiPriority w:val="1"/>
    <w:semiHidden/>
    <w:unhideWhenUsed/>
    <w:qFormat/>
  </w:style>
  <w:style w:type="character" w:styleId="846" w:customStyle="1">
    <w:name w:val="Title Char"/>
    <w:basedOn w:val="845"/>
    <w:uiPriority w:val="10"/>
    <w:qFormat/>
    <w:rPr>
      <w:sz w:val="48"/>
      <w:szCs w:val="48"/>
    </w:rPr>
  </w:style>
  <w:style w:type="character" w:styleId="847" w:customStyle="1">
    <w:name w:val="Heading 1 Char"/>
    <w:basedOn w:val="845"/>
    <w:uiPriority w:val="9"/>
    <w:qFormat/>
    <w:rPr>
      <w:rFonts w:ascii="Arial" w:hAnsi="Arial" w:eastAsia="Arial" w:cs="Arial"/>
      <w:sz w:val="40"/>
      <w:szCs w:val="40"/>
    </w:rPr>
  </w:style>
  <w:style w:type="character" w:styleId="848" w:customStyle="1">
    <w:name w:val="Heading 2 Char"/>
    <w:basedOn w:val="845"/>
    <w:uiPriority w:val="9"/>
    <w:qFormat/>
    <w:rPr>
      <w:rFonts w:ascii="Arial" w:hAnsi="Arial" w:eastAsia="Arial" w:cs="Arial"/>
      <w:sz w:val="34"/>
    </w:rPr>
  </w:style>
  <w:style w:type="character" w:styleId="849" w:customStyle="1">
    <w:name w:val="Heading 3 Char"/>
    <w:basedOn w:val="845"/>
    <w:uiPriority w:val="9"/>
    <w:qFormat/>
    <w:rPr>
      <w:rFonts w:ascii="Arial" w:hAnsi="Arial" w:eastAsia="Arial" w:cs="Arial"/>
      <w:sz w:val="30"/>
      <w:szCs w:val="30"/>
    </w:rPr>
  </w:style>
  <w:style w:type="character" w:styleId="850" w:customStyle="1">
    <w:name w:val="Heading 4 Char"/>
    <w:basedOn w:val="84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51" w:customStyle="1">
    <w:name w:val="Heading 5 Char"/>
    <w:basedOn w:val="84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52" w:customStyle="1">
    <w:name w:val="Heading 6 Char"/>
    <w:basedOn w:val="84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53" w:customStyle="1">
    <w:name w:val="Heading 7 Char"/>
    <w:basedOn w:val="84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54" w:customStyle="1">
    <w:name w:val="Heading 8 Char"/>
    <w:basedOn w:val="84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55" w:customStyle="1">
    <w:name w:val="Heading 9 Char"/>
    <w:basedOn w:val="84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56" w:customStyle="1">
    <w:name w:val="Заголовок Знак"/>
    <w:basedOn w:val="845"/>
    <w:uiPriority w:val="10"/>
    <w:qFormat/>
    <w:rPr>
      <w:sz w:val="48"/>
      <w:szCs w:val="48"/>
    </w:rPr>
  </w:style>
  <w:style w:type="character" w:styleId="857" w:customStyle="1">
    <w:name w:val="Subtitle Char"/>
    <w:basedOn w:val="845"/>
    <w:uiPriority w:val="11"/>
    <w:qFormat/>
    <w:rPr>
      <w:sz w:val="24"/>
      <w:szCs w:val="24"/>
    </w:rPr>
  </w:style>
  <w:style w:type="character" w:styleId="858" w:customStyle="1">
    <w:name w:val="Quote Char"/>
    <w:uiPriority w:val="29"/>
    <w:qFormat/>
    <w:rPr>
      <w:i/>
    </w:rPr>
  </w:style>
  <w:style w:type="character" w:styleId="859" w:customStyle="1">
    <w:name w:val="Intense Quote Char"/>
    <w:uiPriority w:val="30"/>
    <w:qFormat/>
    <w:rPr>
      <w:i/>
    </w:rPr>
  </w:style>
  <w:style w:type="character" w:styleId="860" w:customStyle="1">
    <w:name w:val="Header Char"/>
    <w:basedOn w:val="845"/>
    <w:uiPriority w:val="99"/>
    <w:qFormat/>
  </w:style>
  <w:style w:type="character" w:styleId="861" w:customStyle="1">
    <w:name w:val="Footer Char"/>
    <w:basedOn w:val="845"/>
    <w:uiPriority w:val="99"/>
    <w:qFormat/>
  </w:style>
  <w:style w:type="character" w:styleId="862" w:customStyle="1">
    <w:name w:val="Caption Char"/>
    <w:uiPriority w:val="99"/>
    <w:qFormat/>
  </w:style>
  <w:style w:type="character" w:styleId="863" w:customStyle="1">
    <w:name w:val="Footnote Text Char"/>
    <w:uiPriority w:val="99"/>
    <w:qFormat/>
    <w:rPr>
      <w:sz w:val="18"/>
    </w:rPr>
  </w:style>
  <w:style w:type="character" w:styleId="864" w:customStyle="1">
    <w:name w:val="Endnote Text Char"/>
    <w:uiPriority w:val="99"/>
    <w:qFormat/>
    <w:rPr>
      <w:sz w:val="20"/>
    </w:rPr>
  </w:style>
  <w:style w:type="character" w:styleId="865" w:customStyle="1">
    <w:name w:val="Символ сноски"/>
    <w:qFormat/>
    <w:rPr>
      <w:vertAlign w:val="superscript"/>
    </w:rPr>
  </w:style>
  <w:style w:type="character" w:styleId="866">
    <w:name w:val="footnote reference"/>
    <w:rPr>
      <w:vertAlign w:val="superscript"/>
    </w:rPr>
  </w:style>
  <w:style w:type="character" w:styleId="867">
    <w:name w:val="page number"/>
    <w:basedOn w:val="845"/>
    <w:qFormat/>
  </w:style>
  <w:style w:type="character" w:styleId="868">
    <w:name w:val="Hyperlink"/>
    <w:uiPriority w:val="99"/>
    <w:rPr>
      <w:color w:val="0000ff"/>
      <w:u w:val="single"/>
    </w:rPr>
  </w:style>
  <w:style w:type="character" w:styleId="869">
    <w:name w:val="annotation reference"/>
    <w:uiPriority w:val="99"/>
    <w:semiHidden/>
    <w:qFormat/>
    <w:rPr>
      <w:sz w:val="16"/>
      <w:szCs w:val="16"/>
    </w:rPr>
  </w:style>
  <w:style w:type="character" w:styleId="870">
    <w:name w:val="Strong"/>
    <w:qFormat/>
    <w:rPr>
      <w:b/>
      <w:bCs/>
    </w:rPr>
  </w:style>
  <w:style w:type="character" w:styleId="871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872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73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874" w:customStyle="1">
    <w:name w:val="Заголовок 1 Знак"/>
    <w:qFormat/>
    <w:rPr>
      <w:rFonts w:eastAsia="Calibri"/>
      <w:b/>
      <w:sz w:val="28"/>
      <w:szCs w:val="28"/>
    </w:rPr>
  </w:style>
  <w:style w:type="character" w:styleId="875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876" w:customStyle="1">
    <w:name w:val="Заголовок 3 Знак"/>
    <w:qFormat/>
    <w:rPr>
      <w:rFonts w:eastAsia="Calibri"/>
      <w:b/>
      <w:sz w:val="24"/>
      <w:szCs w:val="24"/>
    </w:rPr>
  </w:style>
  <w:style w:type="character" w:styleId="877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878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87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880" w:customStyle="1">
    <w:name w:val="Название Знак"/>
    <w:uiPriority w:val="10"/>
    <w:qFormat/>
    <w:rPr>
      <w:sz w:val="28"/>
    </w:rPr>
  </w:style>
  <w:style w:type="character" w:styleId="881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882">
    <w:name w:val="Emphasis"/>
    <w:uiPriority w:val="20"/>
    <w:qFormat/>
    <w:rPr>
      <w:i/>
      <w:iCs/>
    </w:rPr>
  </w:style>
  <w:style w:type="character" w:styleId="883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884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885">
    <w:name w:val="Subtle Emphasis"/>
    <w:uiPriority w:val="19"/>
    <w:qFormat/>
    <w:rPr>
      <w:i/>
      <w:iCs/>
      <w:color w:val="808080"/>
    </w:rPr>
  </w:style>
  <w:style w:type="character" w:styleId="886">
    <w:name w:val="Intense Emphasis"/>
    <w:uiPriority w:val="21"/>
    <w:qFormat/>
    <w:rPr>
      <w:b/>
      <w:bCs/>
      <w:i/>
      <w:iCs/>
      <w:color w:val="4f81bd"/>
    </w:rPr>
  </w:style>
  <w:style w:type="character" w:styleId="887">
    <w:name w:val="Subtle Reference"/>
    <w:uiPriority w:val="31"/>
    <w:qFormat/>
    <w:rPr>
      <w:smallCaps/>
      <w:color w:val="c0504d"/>
      <w:u w:val="single"/>
    </w:rPr>
  </w:style>
  <w:style w:type="character" w:styleId="88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889">
    <w:name w:val="Book Title"/>
    <w:uiPriority w:val="33"/>
    <w:qFormat/>
    <w:rPr>
      <w:b/>
      <w:bCs/>
      <w:smallCaps/>
      <w:spacing w:val="5"/>
    </w:rPr>
  </w:style>
  <w:style w:type="character" w:styleId="890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891" w:customStyle="1">
    <w:name w:val="Подпункт Знак1"/>
    <w:qFormat/>
    <w:rPr>
      <w:sz w:val="28"/>
    </w:rPr>
  </w:style>
  <w:style w:type="character" w:styleId="892" w:customStyle="1">
    <w:name w:val="Текст сноски Знак"/>
    <w:uiPriority w:val="99"/>
    <w:qFormat/>
  </w:style>
  <w:style w:type="character" w:styleId="893" w:customStyle="1">
    <w:name w:val="Основной текст Знак"/>
    <w:qFormat/>
    <w:rPr>
      <w:sz w:val="28"/>
      <w:szCs w:val="28"/>
    </w:rPr>
  </w:style>
  <w:style w:type="character" w:styleId="894" w:customStyle="1">
    <w:name w:val="blk"/>
    <w:qFormat/>
  </w:style>
  <w:style w:type="character" w:styleId="895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896" w:customStyle="1">
    <w:name w:val="комментарий"/>
    <w:qFormat/>
    <w:rPr>
      <w:b/>
      <w:i/>
      <w:shd w:val="clear" w:color="auto" w:fill="ffff99"/>
    </w:rPr>
  </w:style>
  <w:style w:type="character" w:styleId="897" w:customStyle="1">
    <w:name w:val="Подподпункт Знак"/>
    <w:qFormat/>
    <w:rPr>
      <w:sz w:val="26"/>
      <w:szCs w:val="26"/>
    </w:rPr>
  </w:style>
  <w:style w:type="character" w:styleId="898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899" w:customStyle="1">
    <w:name w:val="Верхний колонтитул Знак"/>
    <w:uiPriority w:val="99"/>
    <w:qFormat/>
    <w:rPr>
      <w:sz w:val="24"/>
      <w:szCs w:val="24"/>
    </w:rPr>
  </w:style>
  <w:style w:type="character" w:styleId="900" w:customStyle="1">
    <w:name w:val="Текст примечания Знак"/>
    <w:qFormat/>
  </w:style>
  <w:style w:type="character" w:styleId="901" w:customStyle="1">
    <w:name w:val="Текст концевой сноски Знак"/>
    <w:basedOn w:val="845"/>
    <w:qFormat/>
  </w:style>
  <w:style w:type="character" w:styleId="902" w:customStyle="1">
    <w:name w:val="Символ концевой сноски"/>
    <w:qFormat/>
    <w:rPr>
      <w:vertAlign w:val="superscript"/>
    </w:rPr>
  </w:style>
  <w:style w:type="character" w:styleId="903">
    <w:name w:val="endnote reference"/>
    <w:rPr>
      <w:vertAlign w:val="superscript"/>
    </w:rPr>
  </w:style>
  <w:style w:type="character" w:styleId="904" w:customStyle="1">
    <w:name w:val="Пункт2 Знак"/>
    <w:qFormat/>
    <w:rPr>
      <w:b/>
      <w:sz w:val="28"/>
    </w:rPr>
  </w:style>
  <w:style w:type="character" w:styleId="905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906" w:customStyle="1">
    <w:name w:val="Неразрешенное упоминание1"/>
    <w:basedOn w:val="845"/>
    <w:uiPriority w:val="99"/>
    <w:semiHidden/>
    <w:unhideWhenUsed/>
    <w:qFormat/>
    <w:rPr>
      <w:color w:val="605e5c"/>
      <w:shd w:val="clear" w:color="auto" w:fill="e1dfdd"/>
    </w:rPr>
  </w:style>
  <w:style w:type="character" w:styleId="907" w:customStyle="1">
    <w:name w:val="Основной текст с отступом 3 Знак"/>
    <w:uiPriority w:val="99"/>
    <w:qFormat/>
    <w:rPr>
      <w:sz w:val="16"/>
      <w:szCs w:val="16"/>
    </w:rPr>
  </w:style>
  <w:style w:type="character" w:styleId="908" w:customStyle="1">
    <w:name w:val="Нижний колонтитул Знак"/>
    <w:uiPriority w:val="99"/>
    <w:qFormat/>
    <w:rPr>
      <w:sz w:val="28"/>
      <w:szCs w:val="28"/>
    </w:rPr>
  </w:style>
  <w:style w:type="character" w:styleId="909" w:customStyle="1">
    <w:name w:val="Знак Знак Знак1"/>
    <w:qFormat/>
    <w:rPr>
      <w:rFonts w:ascii="Arial" w:hAnsi="Arial"/>
      <w:b/>
      <w:sz w:val="32"/>
      <w:lang w:val="ru-RU" w:eastAsia="ru-RU" w:bidi="ar-SA"/>
    </w:rPr>
  </w:style>
  <w:style w:type="character" w:styleId="910" w:customStyle="1">
    <w:name w:val="Ссылка указателя"/>
    <w:qFormat/>
  </w:style>
  <w:style w:type="character" w:styleId="911">
    <w:name w:val="line number"/>
    <w:qFormat/>
  </w:style>
  <w:style w:type="paragraph" w:styleId="912">
    <w:name w:val="Заголовок"/>
    <w:basedOn w:val="835"/>
    <w:next w:val="913"/>
    <w:qFormat/>
    <w:pPr>
      <w:keepNext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913">
    <w:name w:val="Body Text"/>
    <w:basedOn w:val="835"/>
    <w:pPr>
      <w:spacing w:before="0" w:after="120"/>
    </w:pPr>
  </w:style>
  <w:style w:type="paragraph" w:styleId="914">
    <w:name w:val="List"/>
    <w:basedOn w:val="913"/>
  </w:style>
  <w:style w:type="paragraph" w:styleId="915">
    <w:name w:val="Caption"/>
    <w:basedOn w:val="835"/>
    <w:link w:val="862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16">
    <w:name w:val="Указатель"/>
    <w:basedOn w:val="835"/>
    <w:qFormat/>
    <w:pPr>
      <w:suppressLineNumbers/>
    </w:pPr>
    <w:rPr>
      <w:rFonts w:cs="Lohit Devanagari"/>
    </w:rPr>
  </w:style>
  <w:style w:type="paragraph" w:styleId="917">
    <w:name w:val="Title"/>
    <w:basedOn w:val="835"/>
    <w:next w:val="913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18">
    <w:name w:val="index heading1"/>
    <w:basedOn w:val="917"/>
    <w:qFormat/>
  </w:style>
  <w:style w:type="paragraph" w:styleId="919">
    <w:name w:val="table of figures"/>
    <w:basedOn w:val="835"/>
    <w:uiPriority w:val="99"/>
    <w:unhideWhenUsed/>
  </w:style>
  <w:style w:type="paragraph" w:styleId="920" w:customStyle="1">
    <w:name w:val="Название раздела инструкции"/>
    <w:basedOn w:val="835"/>
    <w:qFormat/>
    <w:pPr>
      <w:jc w:val="center"/>
    </w:pPr>
    <w:rPr>
      <w:b/>
    </w:rPr>
  </w:style>
  <w:style w:type="paragraph" w:styleId="921" w:customStyle="1">
    <w:name w:val="Раздел положения"/>
    <w:basedOn w:val="835"/>
    <w:qFormat/>
    <w:pPr>
      <w:ind w:left="720" w:hanging="720"/>
      <w:jc w:val="center"/>
      <w:spacing w:before="80" w:after="80"/>
      <w:tabs>
        <w:tab w:val="clear" w:pos="708" w:leader="none"/>
        <w:tab w:val="left" w:pos="720" w:leader="none"/>
      </w:tabs>
    </w:pPr>
    <w:rPr>
      <w:b/>
      <w:sz w:val="32"/>
      <w:szCs w:val="32"/>
    </w:rPr>
  </w:style>
  <w:style w:type="paragraph" w:styleId="922" w:customStyle="1">
    <w:name w:val="Подраздел раздела положения"/>
    <w:basedOn w:val="835"/>
    <w:qFormat/>
    <w:pPr>
      <w:ind w:left="1440" w:hanging="720"/>
      <w:jc w:val="both"/>
      <w:spacing w:before="80" w:after="80"/>
      <w:tabs>
        <w:tab w:val="clear" w:pos="708" w:leader="none"/>
        <w:tab w:val="left" w:pos="1440" w:leader="none"/>
      </w:tabs>
    </w:pPr>
  </w:style>
  <w:style w:type="paragraph" w:styleId="923">
    <w:name w:val="footnote text"/>
    <w:basedOn w:val="835"/>
    <w:uiPriority w:val="99"/>
    <w:rPr>
      <w:sz w:val="20"/>
      <w:szCs w:val="20"/>
    </w:rPr>
  </w:style>
  <w:style w:type="paragraph" w:styleId="924" w:customStyle="1">
    <w:name w:val="Шапка 1"/>
    <w:basedOn w:val="835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925" w:customStyle="1">
    <w:name w:val="Шапка 2"/>
    <w:basedOn w:val="835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26" w:customStyle="1">
    <w:name w:val="Шапка 3"/>
    <w:basedOn w:val="835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27" w:customStyle="1">
    <w:name w:val="Название1"/>
    <w:basedOn w:val="835"/>
    <w:uiPriority w:val="10"/>
    <w:qFormat/>
    <w:pPr>
      <w:jc w:val="center"/>
    </w:pPr>
    <w:rPr>
      <w:szCs w:val="20"/>
    </w:rPr>
  </w:style>
  <w:style w:type="paragraph" w:styleId="928" w:customStyle="1">
    <w:name w:val="Колонтитул"/>
    <w:basedOn w:val="835"/>
    <w:qFormat/>
  </w:style>
  <w:style w:type="paragraph" w:styleId="929">
    <w:name w:val="Header"/>
    <w:basedOn w:val="835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30">
    <w:name w:val="Body Text Indent"/>
    <w:basedOn w:val="835"/>
    <w:pPr>
      <w:ind w:left="360"/>
    </w:pPr>
    <w:rPr>
      <w:sz w:val="24"/>
      <w:szCs w:val="24"/>
    </w:rPr>
  </w:style>
  <w:style w:type="paragraph" w:styleId="931">
    <w:name w:val="Footer"/>
    <w:basedOn w:val="835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32">
    <w:name w:val="Body Text Indent 2"/>
    <w:basedOn w:val="835"/>
    <w:qFormat/>
    <w:pPr>
      <w:ind w:left="283"/>
      <w:spacing w:before="0" w:after="120" w:line="480" w:lineRule="auto"/>
    </w:pPr>
  </w:style>
  <w:style w:type="paragraph" w:styleId="933">
    <w:name w:val="Body Text 3"/>
    <w:basedOn w:val="835"/>
    <w:qFormat/>
    <w:pPr>
      <w:spacing w:before="0" w:after="120"/>
    </w:pPr>
    <w:rPr>
      <w:sz w:val="16"/>
      <w:szCs w:val="16"/>
    </w:rPr>
  </w:style>
  <w:style w:type="paragraph" w:styleId="934">
    <w:name w:val="Body Text Indent 3"/>
    <w:basedOn w:val="835"/>
    <w:uiPriority w:val="99"/>
    <w:qFormat/>
    <w:pPr>
      <w:ind w:left="283"/>
      <w:spacing w:before="0" w:after="120"/>
    </w:pPr>
    <w:rPr>
      <w:sz w:val="16"/>
      <w:szCs w:val="16"/>
    </w:rPr>
  </w:style>
  <w:style w:type="paragraph" w:styleId="935">
    <w:name w:val="Body Text 2"/>
    <w:basedOn w:val="835"/>
    <w:qFormat/>
    <w:pPr>
      <w:spacing w:before="0" w:after="120" w:line="480" w:lineRule="auto"/>
    </w:pPr>
  </w:style>
  <w:style w:type="paragraph" w:styleId="936">
    <w:name w:val="Block Text"/>
    <w:basedOn w:val="835"/>
    <w:qFormat/>
    <w:pPr>
      <w:ind w:left="-567" w:right="-766"/>
      <w:jc w:val="center"/>
    </w:pPr>
    <w:rPr>
      <w:b/>
      <w:bCs/>
      <w:sz w:val="24"/>
      <w:szCs w:val="20"/>
    </w:rPr>
  </w:style>
  <w:style w:type="paragraph" w:styleId="937" w:customStyle="1">
    <w:name w:val="Подпункт"/>
    <w:basedOn w:val="835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938" w:customStyle="1">
    <w:name w:val="Пункт2"/>
    <w:basedOn w:val="835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Cs w:val="20"/>
    </w:rPr>
  </w:style>
  <w:style w:type="paragraph" w:styleId="939">
    <w:name w:val="toc 1"/>
    <w:basedOn w:val="835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940">
    <w:name w:val="toc 3"/>
    <w:basedOn w:val="835"/>
    <w:uiPriority w:val="39"/>
    <w:pPr>
      <w:ind w:left="280"/>
    </w:pPr>
    <w:rPr>
      <w:rFonts w:cs="Calibri" w:cstheme="minorHAnsi"/>
      <w:sz w:val="20"/>
      <w:szCs w:val="20"/>
    </w:rPr>
  </w:style>
  <w:style w:type="paragraph" w:styleId="941" w:customStyle="1">
    <w:name w:val="Раздел регламента"/>
    <w:basedOn w:val="835"/>
    <w:qFormat/>
  </w:style>
  <w:style w:type="paragraph" w:styleId="942" w:customStyle="1">
    <w:name w:val="Приложение к регламенту"/>
    <w:basedOn w:val="835"/>
    <w:qFormat/>
    <w:pPr>
      <w:jc w:val="right"/>
    </w:pPr>
  </w:style>
  <w:style w:type="paragraph" w:styleId="943">
    <w:name w:val="toc 2"/>
    <w:basedOn w:val="835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944">
    <w:name w:val="Balloon Text"/>
    <w:basedOn w:val="835"/>
    <w:semiHidden/>
    <w:qFormat/>
    <w:rPr>
      <w:rFonts w:ascii="Tahoma" w:hAnsi="Tahoma" w:cs="Tahoma"/>
      <w:sz w:val="16"/>
      <w:szCs w:val="16"/>
    </w:rPr>
  </w:style>
  <w:style w:type="paragraph" w:styleId="945">
    <w:name w:val="annotation text"/>
    <w:basedOn w:val="835"/>
    <w:qFormat/>
    <w:rPr>
      <w:sz w:val="20"/>
      <w:szCs w:val="20"/>
    </w:rPr>
  </w:style>
  <w:style w:type="paragraph" w:styleId="946">
    <w:name w:val="annotation subject"/>
    <w:basedOn w:val="945"/>
    <w:semiHidden/>
    <w:qFormat/>
    <w:rPr>
      <w:b/>
      <w:bCs/>
    </w:rPr>
  </w:style>
  <w:style w:type="paragraph" w:styleId="947" w:customStyle="1">
    <w:name w:val="Обычный (веб)1"/>
    <w:basedOn w:val="835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48">
    <w:name w:val="toc 9"/>
    <w:basedOn w:val="835"/>
    <w:semiHidden/>
    <w:pPr>
      <w:ind w:left="196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49">
    <w:name w:val="toc 5"/>
    <w:basedOn w:val="835"/>
    <w:semiHidden/>
    <w:pPr>
      <w:ind w:left="84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50">
    <w:name w:val="toc 4"/>
    <w:basedOn w:val="835"/>
    <w:uiPriority w:val="39"/>
    <w:pPr>
      <w:ind w:left="560"/>
    </w:pPr>
    <w:rPr>
      <w:rFonts w:cs="Calibri" w:cstheme="minorHAnsi"/>
      <w:sz w:val="20"/>
      <w:szCs w:val="20"/>
    </w:rPr>
  </w:style>
  <w:style w:type="paragraph" w:styleId="951" w:customStyle="1">
    <w:name w:val="Раздел положения 2"/>
    <w:basedOn w:val="835"/>
    <w:qFormat/>
    <w:pPr>
      <w:jc w:val="both"/>
      <w:pageBreakBefore/>
      <w:outlineLvl w:val="0"/>
    </w:pPr>
    <w:rPr>
      <w:b/>
    </w:rPr>
  </w:style>
  <w:style w:type="paragraph" w:styleId="952" w:customStyle="1">
    <w:name w:val="Знак Знак Знак Знак Знак Знак Знак Знак Знак"/>
    <w:basedOn w:val="835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53">
    <w:name w:val="No Spacing"/>
    <w:basedOn w:val="835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54">
    <w:name w:val="Subtitle"/>
    <w:basedOn w:val="835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955">
    <w:name w:val="List Paragraph"/>
    <w:basedOn w:val="835"/>
    <w:uiPriority w:val="34"/>
    <w:qFormat/>
    <w:pPr>
      <w:contextualSpacing/>
      <w:ind w:left="720"/>
      <w:spacing w:before="0" w:after="0"/>
    </w:pPr>
    <w:rPr>
      <w:rFonts w:eastAsia="Calibri"/>
      <w:sz w:val="24"/>
      <w:szCs w:val="24"/>
    </w:rPr>
  </w:style>
  <w:style w:type="paragraph" w:styleId="956">
    <w:name w:val="Quote"/>
    <w:basedOn w:val="835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957">
    <w:name w:val="Intense Quote"/>
    <w:basedOn w:val="835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958">
    <w:name w:val="Index Heading"/>
    <w:basedOn w:val="912"/>
  </w:style>
  <w:style w:type="paragraph" w:styleId="959">
    <w:name w:val="TOC Heading"/>
    <w:basedOn w:val="836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960">
    <w:name w:val="E-mail Signature"/>
    <w:basedOn w:val="835"/>
    <w:uiPriority w:val="99"/>
    <w:unhideWhenUsed/>
    <w:qFormat/>
    <w:rPr>
      <w:rFonts w:eastAsia="Calibri"/>
      <w:sz w:val="24"/>
      <w:szCs w:val="24"/>
    </w:rPr>
  </w:style>
  <w:style w:type="paragraph" w:styleId="961" w:customStyle="1">
    <w:name w:val="Знак"/>
    <w:basedOn w:val="83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2" w:customStyle="1">
    <w:name w:val="Нумерованный список ур3"/>
    <w:basedOn w:val="835"/>
    <w:qFormat/>
    <w:pPr>
      <w:ind w:left="2160" w:hanging="720"/>
      <w:jc w:val="both"/>
      <w:tabs>
        <w:tab w:val="clear" w:pos="708" w:leader="none"/>
        <w:tab w:val="left" w:pos="2160" w:leader="none"/>
      </w:tabs>
    </w:pPr>
    <w:rPr>
      <w:rFonts w:ascii="Garamond" w:hAnsi="Garamond"/>
      <w:sz w:val="24"/>
      <w:szCs w:val="20"/>
    </w:rPr>
  </w:style>
  <w:style w:type="paragraph" w:styleId="963" w:customStyle="1">
    <w:name w:val="Нумерованный список 1"/>
    <w:basedOn w:val="835"/>
    <w:qFormat/>
    <w:pPr>
      <w:ind w:left="720" w:hanging="720"/>
      <w:jc w:val="both"/>
      <w:spacing w:before="120" w:after="0"/>
      <w:tabs>
        <w:tab w:val="clear" w:pos="708" w:leader="none"/>
        <w:tab w:val="left" w:pos="720" w:leader="none"/>
      </w:tabs>
    </w:pPr>
    <w:rPr>
      <w:rFonts w:ascii="Garamond" w:hAnsi="Garamond"/>
      <w:sz w:val="24"/>
      <w:szCs w:val="20"/>
    </w:rPr>
  </w:style>
  <w:style w:type="paragraph" w:styleId="964" w:customStyle="1">
    <w:name w:val="Нумерованный список ур2"/>
    <w:basedOn w:val="835"/>
    <w:qFormat/>
    <w:pPr>
      <w:ind w:left="1440" w:hanging="720"/>
      <w:jc w:val="both"/>
      <w:spacing w:before="120" w:after="0"/>
      <w:tabs>
        <w:tab w:val="clear" w:pos="708" w:leader="none"/>
        <w:tab w:val="left" w:pos="1440" w:leader="none"/>
      </w:tabs>
    </w:pPr>
    <w:rPr>
      <w:rFonts w:ascii="Garamond" w:hAnsi="Garamond"/>
      <w:sz w:val="24"/>
      <w:szCs w:val="20"/>
    </w:rPr>
  </w:style>
  <w:style w:type="paragraph" w:styleId="965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Lohit Devanagari"/>
      <w:color w:val="auto"/>
      <w:sz w:val="24"/>
      <w:szCs w:val="24"/>
      <w:lang w:val="ru-RU" w:eastAsia="ru-RU" w:bidi="ar-SA"/>
    </w:rPr>
  </w:style>
  <w:style w:type="paragraph" w:styleId="966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Tahoma" w:cs="Arial"/>
      <w:color w:val="auto"/>
      <w:sz w:val="20"/>
      <w:szCs w:val="20"/>
      <w:lang w:val="ru-RU" w:eastAsia="ru-RU" w:bidi="ar-SA"/>
    </w:rPr>
  </w:style>
  <w:style w:type="paragraph" w:styleId="967" w:customStyle="1">
    <w:name w:val="Знак Знак3 Знак Знак"/>
    <w:basedOn w:val="835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68" w:customStyle="1">
    <w:name w:val="Пункт"/>
    <w:basedOn w:val="835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969" w:customStyle="1">
    <w:name w:val="Абзац списка1"/>
    <w:basedOn w:val="835"/>
    <w:qFormat/>
    <w:pPr>
      <w:contextualSpacing/>
      <w:ind w:left="72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70" w:customStyle="1">
    <w:name w:val="Таблица"/>
    <w:basedOn w:val="835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971" w:customStyle="1">
    <w:name w:val="Таблица шапка"/>
    <w:basedOn w:val="835"/>
    <w:qFormat/>
    <w:pPr>
      <w:ind w:left="57" w:right="57"/>
      <w:keepNext/>
      <w:spacing w:before="40" w:after="40"/>
    </w:pPr>
    <w:rPr>
      <w:sz w:val="22"/>
      <w:szCs w:val="26"/>
    </w:rPr>
  </w:style>
  <w:style w:type="paragraph" w:styleId="972" w:customStyle="1">
    <w:name w:val="Подподпункт"/>
    <w:basedOn w:val="937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973" w:customStyle="1">
    <w:name w:val="УРОВЕНЬ_(а)"/>
    <w:basedOn w:val="955"/>
    <w:qFormat/>
    <w:pPr>
      <w:numPr>
        <w:ilvl w:val="3"/>
        <w:numId w:val="2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974" w:customStyle="1">
    <w:name w:val="УРОВЕНЬ_-"/>
    <w:basedOn w:val="955"/>
    <w:qFormat/>
    <w:pPr>
      <w:numPr>
        <w:ilvl w:val="4"/>
        <w:numId w:val="2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975" w:customStyle="1">
    <w:name w:val="УРОВЕНЬ_Абзац_тип2"/>
    <w:basedOn w:val="955"/>
    <w:qFormat/>
    <w:pPr>
      <w:numPr>
        <w:ilvl w:val="6"/>
        <w:numId w:val="2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976" w:customStyle="1">
    <w:name w:val="УРОВЕНЬ_Абзац_тип3"/>
    <w:basedOn w:val="955"/>
    <w:qFormat/>
    <w:pPr>
      <w:numPr>
        <w:ilvl w:val="7"/>
        <w:numId w:val="2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977" w:customStyle="1">
    <w:name w:val="УРОВЕНЬ_Подпись"/>
    <w:basedOn w:val="955"/>
    <w:qFormat/>
    <w:pPr>
      <w:numPr>
        <w:ilvl w:val="5"/>
        <w:numId w:val="2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978" w:customStyle="1">
    <w:name w:val="Стиль Заголовок 1 + по ширине"/>
    <w:basedOn w:val="836"/>
    <w:qFormat/>
    <w:p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</w:rPr>
  </w:style>
  <w:style w:type="paragraph" w:styleId="979">
    <w:name w:val="endnote text"/>
    <w:basedOn w:val="835"/>
    <w:rPr>
      <w:sz w:val="20"/>
      <w:szCs w:val="20"/>
    </w:rPr>
  </w:style>
  <w:style w:type="paragraph" w:styleId="980" w:customStyle="1">
    <w:name w:val="Заголовок 2 КВВ"/>
    <w:basedOn w:val="835"/>
    <w:qFormat/>
    <w:pPr>
      <w:ind w:left="720" w:hanging="720"/>
      <w:jc w:val="both"/>
      <w:keepNext/>
      <w:spacing w:before="120" w:after="120"/>
      <w:tabs>
        <w:tab w:val="clear" w:pos="708" w:leader="none"/>
        <w:tab w:val="left" w:pos="720" w:leader="none"/>
      </w:tabs>
      <w:outlineLvl w:val="0"/>
    </w:pPr>
    <w:rPr>
      <w:b/>
      <w:sz w:val="24"/>
      <w:szCs w:val="20"/>
    </w:rPr>
  </w:style>
  <w:style w:type="paragraph" w:styleId="981" w:customStyle="1">
    <w:name w:val="Таблица текст"/>
    <w:basedOn w:val="835"/>
    <w:qFormat/>
    <w:pPr>
      <w:ind w:left="57" w:right="57"/>
      <w:spacing w:before="40" w:after="40"/>
    </w:pPr>
    <w:rPr>
      <w:sz w:val="24"/>
      <w:szCs w:val="26"/>
    </w:rPr>
  </w:style>
  <w:style w:type="paragraph" w:styleId="982">
    <w:name w:val="Normal (Web)"/>
    <w:basedOn w:val="835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983" w:customStyle="1">
    <w:name w:val="УРОВЕНЬ_1."/>
    <w:basedOn w:val="95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984">
    <w:name w:val="toc 6"/>
    <w:basedOn w:val="835"/>
    <w:unhideWhenUsed/>
    <w:pPr>
      <w:ind w:left="112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85">
    <w:name w:val="toc 7"/>
    <w:basedOn w:val="835"/>
    <w:unhideWhenUsed/>
    <w:pPr>
      <w:ind w:left="140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86">
    <w:name w:val="toc 8"/>
    <w:basedOn w:val="835"/>
    <w:unhideWhenUsed/>
    <w:pPr>
      <w:ind w:left="168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87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;Bullet_IRAO;Мой Список;AC List 01;List Paragraph1;ТЗ список"/>
    <w:uiPriority w:val="34"/>
    <w:qFormat/>
    <w:pPr>
      <w:contextualSpacing/>
      <w:ind w:left="720"/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988" w:customStyle="1">
    <w:name w:val="Содержимое врезки"/>
    <w:basedOn w:val="835"/>
    <w:qFormat/>
  </w:style>
  <w:style w:type="paragraph" w:styleId="989" w:customStyle="1">
    <w:name w:val="Содержимое таблицы"/>
    <w:basedOn w:val="835"/>
    <w:qFormat/>
    <w:pPr>
      <w:widowControl w:val="off"/>
      <w:suppressLineNumbers/>
    </w:pPr>
  </w:style>
  <w:style w:type="paragraph" w:styleId="990" w:customStyle="1">
    <w:name w:val="Заголовок таблицы"/>
    <w:basedOn w:val="989"/>
    <w:qFormat/>
    <w:pPr>
      <w:jc w:val="center"/>
    </w:pPr>
    <w:rPr>
      <w:b/>
      <w:bCs/>
    </w:rPr>
  </w:style>
  <w:style w:type="numbering" w:styleId="991" w:default="1">
    <w:name w:val="No List"/>
    <w:uiPriority w:val="99"/>
    <w:semiHidden/>
    <w:unhideWhenUsed/>
    <w:qFormat/>
  </w:style>
  <w:style w:type="numbering" w:styleId="992" w:customStyle="1">
    <w:name w:val="Стиль1"/>
    <w:uiPriority w:val="99"/>
    <w:qFormat/>
  </w:style>
  <w:style w:type="numbering" w:styleId="993" w:customStyle="1">
    <w:name w:val="Стиль2"/>
    <w:uiPriority w:val="99"/>
    <w:qFormat/>
  </w:style>
  <w:style w:type="table" w:styleId="994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95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6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7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998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999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1000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1001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2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03" w:customStyle="1">
    <w:name w:val="Grid Table 1 Light - Accent 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472C4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04" w:customStyle="1">
    <w:name w:val="Grid Table 1 Light - Accent 2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05" w:customStyle="1">
    <w:name w:val="Grid Table 1 Light - Accent 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06" w:customStyle="1">
    <w:name w:val="Grid Table 1 Light - Accent 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07" w:customStyle="1">
    <w:name w:val="Grid Table 1 Light - Accent 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08" w:customStyle="1">
    <w:name w:val="Grid Table 1 Light - Accent 6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09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Grid Table 2 - Accent 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8e2f3" w:themeFill="accent1" w:themeFillTint="34"/>
      </w:tcPr>
    </w:tblStylePr>
    <w:tblStylePr w:type="band1Vert">
      <w:rPr>
        <w:sz w:val="22"/>
      </w:rPr>
      <w:tcPr>
        <w:shd w:val="clear" w:color="ffffff" w:fill="d8e2f3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Grid Table 2 - Accent 2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 w:customStyle="1">
    <w:name w:val="Grid Table 2 - Accent 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cecec" w:themeFill="accent3" w:themeFillTint="34"/>
      </w:tcPr>
    </w:tblStylePr>
    <w:tblStylePr w:type="band1Vert">
      <w:rPr>
        <w:sz w:val="22"/>
      </w:rPr>
      <w:tcPr>
        <w:shd w:val="clear" w:color="ffffff" w:fill="ecece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Grid Table 2 - Accent 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f2cb" w:themeFill="accent4" w:themeFillTint="34"/>
      </w:tcPr>
    </w:tblStylePr>
    <w:tblStylePr w:type="band1Vert">
      <w:rPr>
        <w:sz w:val="22"/>
      </w:rPr>
      <w:tcPr>
        <w:shd w:val="clear" w:color="ffffff" w:fill="ff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 w:customStyle="1">
    <w:name w:val="Grid Table 2 - Accent 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deaf6" w:themeFill="accent5" w:themeFillTint="34"/>
      </w:tcPr>
    </w:tblStylePr>
    <w:tblStylePr w:type="band1Vert">
      <w:rPr>
        <w:sz w:val="22"/>
      </w:rPr>
      <w:tcPr>
        <w:shd w:val="clear" w:color="ffffff" w:fill="ddeaf6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 w:customStyle="1">
    <w:name w:val="Grid Table 2 - Accent 6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1efd8" w:themeFill="accent6" w:themeFillTint="34"/>
      </w:tcPr>
    </w:tblStylePr>
    <w:tblStylePr w:type="band1Vert">
      <w:rPr>
        <w:sz w:val="22"/>
      </w:rPr>
      <w:tcPr>
        <w:shd w:val="clear" w:color="ffffff" w:fill="e1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 w:customStyle="1">
    <w:name w:val="Grid Table 3 - Accent 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8e2f3" w:themeFill="accent1" w:themeFillTint="34"/>
      </w:tcPr>
    </w:tblStylePr>
    <w:tblStylePr w:type="band1Vert">
      <w:rPr>
        <w:sz w:val="22"/>
      </w:rPr>
      <w:tcPr>
        <w:shd w:val="clear" w:color="ffffff" w:fill="d8e2f3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 w:customStyle="1">
    <w:name w:val="Grid Table 3 - Accent 2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 w:customStyle="1">
    <w:name w:val="Grid Table 3 - Accent 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cecec" w:themeFill="accent3" w:themeFillTint="34"/>
      </w:tcPr>
    </w:tblStylePr>
    <w:tblStylePr w:type="band1Vert">
      <w:rPr>
        <w:sz w:val="22"/>
      </w:rPr>
      <w:tcPr>
        <w:shd w:val="clear" w:color="ffffff" w:fill="ecece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 w:customStyle="1">
    <w:name w:val="Grid Table 3 - Accent 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f2cb" w:themeFill="accent4" w:themeFillTint="34"/>
      </w:tcPr>
    </w:tblStylePr>
    <w:tblStylePr w:type="band1Vert">
      <w:rPr>
        <w:sz w:val="22"/>
      </w:rPr>
      <w:tcPr>
        <w:shd w:val="clear" w:color="ffffff" w:fill="ff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 w:customStyle="1">
    <w:name w:val="Grid Table 3 - Accent 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deaf6" w:themeFill="accent5" w:themeFillTint="34"/>
      </w:tcPr>
    </w:tblStylePr>
    <w:tblStylePr w:type="band1Vert">
      <w:rPr>
        <w:sz w:val="22"/>
      </w:rPr>
      <w:tcPr>
        <w:shd w:val="clear" w:color="ffffff" w:fill="ddeaf6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 w:customStyle="1">
    <w:name w:val="Grid Table 3 - Accent 6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1efd8" w:themeFill="accent6" w:themeFillTint="34"/>
      </w:tcPr>
    </w:tblStylePr>
    <w:tblStylePr w:type="band1Vert">
      <w:rPr>
        <w:sz w:val="22"/>
      </w:rPr>
      <w:tcPr>
        <w:shd w:val="clear" w:color="ffffff" w:fill="e1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1024" w:customStyle="1">
    <w:name w:val="Grid Table 4 - Accent 1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3f3" w:themeFill="accent1" w:themeFillTint="32"/>
      </w:tcPr>
    </w:tblStylePr>
    <w:tblStylePr w:type="band1Vert">
      <w:rPr>
        <w:sz w:val="22"/>
      </w:rPr>
      <w:tcPr>
        <w:shd w:val="clear" w:color="ffffff" w:fill="dae3f3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37dc8" w:themeFill="accent1" w:themeFillTint="EA"/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1" w:sz="4" w:space="0"/>
        </w:tcBorders>
      </w:tcPr>
    </w:tblStylePr>
  </w:style>
  <w:style w:type="table" w:styleId="1025" w:customStyle="1">
    <w:name w:val="Grid Table 4 - Accent 2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4" w:themeFill="accent2" w:themeFillTint="97"/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</w:tcBorders>
      </w:tcPr>
    </w:tblStylePr>
  </w:style>
  <w:style w:type="table" w:styleId="1026" w:customStyle="1">
    <w:name w:val="Grid Table 4 - Accent 3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cecec" w:themeFill="accent3" w:themeFillTint="34"/>
      </w:tcPr>
    </w:tblStylePr>
    <w:tblStylePr w:type="band1Vert">
      <w:rPr>
        <w:sz w:val="22"/>
      </w:rPr>
      <w:tcPr>
        <w:shd w:val="clear" w:color="ffffff" w:fill="ecece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</w:tcBorders>
      </w:tcPr>
    </w:tblStylePr>
  </w:style>
  <w:style w:type="table" w:styleId="1027" w:customStyle="1">
    <w:name w:val="Grid Table 4 - Accent 4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f2cb" w:themeFill="accent4" w:themeFillTint="34"/>
      </w:tcPr>
    </w:tblStylePr>
    <w:tblStylePr w:type="band1Vert">
      <w:rPr>
        <w:sz w:val="22"/>
      </w:rPr>
      <w:tcPr>
        <w:shd w:val="clear" w:color="ffffff" w:fill="ff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5" w:themeFill="accent4" w:themeFillTint="9A"/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</w:tcBorders>
      </w:tcPr>
    </w:tblStylePr>
  </w:style>
  <w:style w:type="table" w:styleId="1028" w:customStyle="1">
    <w:name w:val="Grid Table 4 - Accent 5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deaf6" w:themeFill="accent5" w:themeFillTint="34"/>
      </w:tcPr>
    </w:tblStylePr>
    <w:tblStylePr w:type="band1Vert">
      <w:rPr>
        <w:sz w:val="22"/>
      </w:rPr>
      <w:tcPr>
        <w:shd w:val="clear" w:color="ffffff" w:fill="ddeaf6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5" w:sz="4" w:space="0"/>
        </w:tcBorders>
      </w:tcPr>
    </w:tblStylePr>
  </w:style>
  <w:style w:type="table" w:styleId="1029" w:customStyle="1">
    <w:name w:val="Grid Table 4 - Accent 6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1efd8" w:themeFill="accent6" w:themeFillTint="34"/>
      </w:tcPr>
    </w:tblStylePr>
    <w:tblStylePr w:type="band1Vert">
      <w:rPr>
        <w:sz w:val="22"/>
      </w:rPr>
      <w:tcPr>
        <w:shd w:val="clear" w:color="ffffff" w:fill="e1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</w:tcBorders>
      </w:tcPr>
    </w:tblStylePr>
  </w:style>
  <w:style w:type="table" w:styleId="1030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shd w:val="clear" w:color="ffffff" w:fill="000000" w:themeFill="text1"/>
        <w:tcBorders>
          <w:top w:val="single" w:color="FFFFFF" w:themeColor="light1" w:sz="4" w:space="0"/>
        </w:tcBorders>
      </w:tcPr>
    </w:tblStylePr>
  </w:style>
  <w:style w:type="table" w:styleId="1031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a9bee4" w:themeFill="accent1" w:themeFillTint="75"/>
      </w:tcPr>
    </w:tblStylePr>
    <w:tblStylePr w:type="band1Vert">
      <w:tcPr>
        <w:shd w:val="clear" w:color="ffffff" w:fill="a9bee4" w:themeFill="accent1" w:themeFillTint="75"/>
      </w:tcPr>
    </w:tblStylePr>
    <w:tblStylePr w:type="firstCol">
      <w:rPr>
        <w:b/>
        <w:sz w:val="22"/>
      </w:rPr>
      <w:tcPr>
        <w:shd w:val="clear" w:color="ffffff" w:fill="4472c4" w:themeFill="accent1"/>
      </w:tcPr>
    </w:tblStylePr>
    <w:tblStylePr w:type="firstRow">
      <w:rPr>
        <w:b/>
        <w:sz w:val="22"/>
      </w:rPr>
      <w:tcPr>
        <w:shd w:val="clear" w:color="ffffff" w:fill="4472c4" w:themeFill="accent1"/>
      </w:tcPr>
    </w:tblStylePr>
    <w:tblStylePr w:type="lastCol">
      <w:rPr>
        <w:b/>
        <w:sz w:val="22"/>
      </w:rPr>
      <w:tcPr>
        <w:shd w:val="clear" w:color="ffffff" w:fill="4472c4" w:themeFill="accent1"/>
      </w:tcPr>
    </w:tblStylePr>
    <w:tblStylePr w:type="lastRow">
      <w:rPr>
        <w:b/>
        <w:sz w:val="22"/>
      </w:rPr>
      <w:tcPr>
        <w:shd w:val="clear" w:color="ffffff" w:fill="4472c4" w:themeFill="accent1"/>
        <w:tcBorders>
          <w:top w:val="single" w:color="FFFFFF" w:themeColor="light1" w:sz="4" w:space="0"/>
        </w:tcBorders>
      </w:tcPr>
    </w:tblStylePr>
  </w:style>
  <w:style w:type="table" w:styleId="1032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6c3a0" w:themeFill="accent2" w:themeFillTint="75"/>
      </w:tcPr>
    </w:tblStylePr>
    <w:tblStylePr w:type="band1Vert">
      <w:tcPr>
        <w:shd w:val="clear" w:color="ffffff" w:fill="f6c3a0" w:themeFill="accent2" w:themeFillTint="75"/>
      </w:tcPr>
    </w:tblStylePr>
    <w:tblStylePr w:type="firstCol">
      <w:rPr>
        <w:b/>
        <w:sz w:val="22"/>
      </w:rPr>
      <w:tcPr>
        <w:shd w:val="clear" w:color="ffffff" w:fill="ed7d31" w:themeFill="accent2"/>
      </w:tcPr>
    </w:tblStylePr>
    <w:tblStylePr w:type="firstRow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  <w:sz w:val="22"/>
      </w:rPr>
      <w:tcPr>
        <w:shd w:val="clear" w:color="ffffff" w:fill="ed7d31" w:themeFill="accent2"/>
      </w:tcPr>
    </w:tblStylePr>
    <w:tblStylePr w:type="lastRow">
      <w:rPr>
        <w:b/>
        <w:sz w:val="22"/>
      </w:rPr>
      <w:tcPr>
        <w:shd w:val="clear" w:color="ffffff" w:fill="ed7d31" w:themeFill="accent2"/>
        <w:tcBorders>
          <w:top w:val="single" w:color="FFFFFF" w:themeColor="light1" w:sz="4" w:space="0"/>
        </w:tcBorders>
      </w:tcPr>
    </w:tblStylePr>
  </w:style>
  <w:style w:type="table" w:styleId="1033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5d5d5" w:themeFill="accent3" w:themeFillTint="75"/>
      </w:tcPr>
    </w:tblStylePr>
    <w:tblStylePr w:type="band1Vert">
      <w:tcPr>
        <w:shd w:val="clear" w:color="ffffff" w:fill="d5d5d5" w:themeFill="accent3" w:themeFillTint="75"/>
      </w:tcPr>
    </w:tblStylePr>
    <w:tblStylePr w:type="firstCol">
      <w:rPr>
        <w:b/>
        <w:sz w:val="22"/>
      </w:rPr>
      <w:tcPr>
        <w:shd w:val="clear" w:color="ffffff" w:fill="a5a5a5" w:themeFill="accent3"/>
      </w:tcPr>
    </w:tblStylePr>
    <w:tblStylePr w:type="firstRow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  <w:sz w:val="22"/>
      </w:rPr>
      <w:tcPr>
        <w:shd w:val="clear" w:color="ffffff" w:fill="a5a5a5" w:themeFill="accent3"/>
      </w:tcPr>
    </w:tblStylePr>
    <w:tblStylePr w:type="lastRow">
      <w:rPr>
        <w:b/>
        <w:sz w:val="22"/>
      </w:rPr>
      <w:tcPr>
        <w:shd w:val="clear" w:color="ffffff" w:fill="a5a5a5" w:themeFill="accent3"/>
        <w:tcBorders>
          <w:top w:val="single" w:color="FFFFFF" w:themeColor="light1" w:sz="4" w:space="0"/>
        </w:tcBorders>
      </w:tcPr>
    </w:tblStylePr>
  </w:style>
  <w:style w:type="table" w:styleId="1034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fe28a" w:themeFill="accent4" w:themeFillTint="75"/>
      </w:tcPr>
    </w:tblStylePr>
    <w:tblStylePr w:type="band1Vert">
      <w:tcPr>
        <w:shd w:val="clear" w:color="ffffff" w:fill="ffe28a" w:themeFill="accent4" w:themeFillTint="75"/>
      </w:tcPr>
    </w:tblStylePr>
    <w:tblStylePr w:type="firstCol">
      <w:rPr>
        <w:b/>
        <w:sz w:val="22"/>
      </w:rPr>
      <w:tcPr>
        <w:shd w:val="clear" w:color="ffffff" w:fill="ffc000" w:themeFill="accent4"/>
      </w:tcPr>
    </w:tblStylePr>
    <w:tblStylePr w:type="firstRow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  <w:sz w:val="22"/>
      </w:rPr>
      <w:tcPr>
        <w:shd w:val="clear" w:color="ffffff" w:fill="ffc000" w:themeFill="accent4"/>
      </w:tcPr>
    </w:tblStylePr>
    <w:tblStylePr w:type="lastRow">
      <w:rPr>
        <w:b/>
        <w:sz w:val="22"/>
      </w:rPr>
      <w:tcPr>
        <w:shd w:val="clear" w:color="ffffff" w:fill="ffc000" w:themeFill="accent4"/>
        <w:tcBorders>
          <w:top w:val="single" w:color="FFFFFF" w:themeColor="light1" w:sz="4" w:space="0"/>
        </w:tcBorders>
      </w:tcPr>
    </w:tblStylePr>
  </w:style>
  <w:style w:type="table" w:styleId="1035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b3d0eb" w:themeFill="accent5" w:themeFillTint="75"/>
      </w:tcPr>
    </w:tblStylePr>
    <w:tblStylePr w:type="band1Vert">
      <w:tcPr>
        <w:shd w:val="clear" w:color="ffffff" w:fill="b3d0eb" w:themeFill="accent5" w:themeFillTint="75"/>
      </w:tcPr>
    </w:tblStylePr>
    <w:tblStylePr w:type="firstCol">
      <w:rPr>
        <w:b/>
        <w:sz w:val="22"/>
      </w:rPr>
      <w:tcPr>
        <w:shd w:val="clear" w:color="ffffff" w:fill="5b9bd5" w:themeFill="accent5"/>
      </w:tcPr>
    </w:tblStylePr>
    <w:tblStylePr w:type="firstRow">
      <w:rPr>
        <w:b/>
        <w:sz w:val="22"/>
      </w:rPr>
      <w:tcPr>
        <w:shd w:val="clear" w:color="ffffff" w:fill="5b9bd5" w:themeFill="accent5"/>
      </w:tcPr>
    </w:tblStylePr>
    <w:tblStylePr w:type="lastCol">
      <w:rPr>
        <w:b/>
        <w:sz w:val="22"/>
      </w:rPr>
      <w:tcPr>
        <w:shd w:val="clear" w:color="ffffff" w:fill="5b9bd5" w:themeFill="accent5"/>
      </w:tcPr>
    </w:tblStylePr>
    <w:tblStylePr w:type="lastRow">
      <w:rPr>
        <w:b/>
        <w:sz w:val="22"/>
      </w:rPr>
      <w:tcPr>
        <w:shd w:val="clear" w:color="ffffff" w:fill="5b9bd5" w:themeFill="accent5"/>
        <w:tcBorders>
          <w:top w:val="single" w:color="FFFFFF" w:themeColor="light1" w:sz="4" w:space="0"/>
        </w:tcBorders>
      </w:tcPr>
    </w:tblStylePr>
  </w:style>
  <w:style w:type="table" w:styleId="1036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bcdba8" w:themeFill="accent6" w:themeFillTint="75"/>
      </w:tcPr>
    </w:tblStylePr>
    <w:tblStylePr w:type="band1Vert">
      <w:tcPr>
        <w:shd w:val="clear" w:color="ffffff" w:fill="bcdba8" w:themeFill="accent6" w:themeFillTint="75"/>
      </w:tcPr>
    </w:tblStylePr>
    <w:tblStylePr w:type="firstCol">
      <w:rPr>
        <w:b/>
        <w:sz w:val="22"/>
      </w:rPr>
      <w:tcPr>
        <w:shd w:val="clear" w:color="ffffff" w:fill="70ad47" w:themeFill="accent6"/>
      </w:tcPr>
    </w:tblStylePr>
    <w:tblStylePr w:type="firstRow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  <w:sz w:val="22"/>
      </w:rPr>
      <w:tcPr>
        <w:shd w:val="clear" w:color="ffffff" w:fill="70ad47" w:themeFill="accent6"/>
      </w:tcPr>
    </w:tblStylePr>
    <w:tblStylePr w:type="lastRow">
      <w:rPr>
        <w:b/>
        <w:sz w:val="22"/>
      </w:rPr>
      <w:tcPr>
        <w:shd w:val="clear" w:color="ffffff" w:fill="70ad47" w:themeFill="accent6"/>
        <w:tcBorders>
          <w:top w:val="single" w:color="FFFFFF" w:themeColor="light1" w:sz="4" w:space="0"/>
        </w:tcBorders>
      </w:tcPr>
    </w:tblStylePr>
  </w:style>
  <w:style w:type="table" w:styleId="1037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</w:style>
  <w:style w:type="table" w:styleId="1038" w:customStyle="1">
    <w:name w:val="Grid Table 6 Colorful - Accent 1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664a9" w:themeColor="accent1" w:themeTint="80" w:themeShade="95"/>
        <w:sz w:val="22"/>
      </w:rPr>
      <w:tcPr>
        <w:shd w:val="clear" w:color="ffffff" w:fill="d8e2f3" w:themeFill="accent1" w:themeFillTint="34"/>
      </w:tcPr>
    </w:tblStylePr>
    <w:tblStylePr w:type="band1Vert">
      <w:tcPr>
        <w:shd w:val="clear" w:color="ffffff" w:fill="d8e2f3" w:themeFill="accent1" w:themeFillTint="34"/>
      </w:tcPr>
    </w:tblStylePr>
    <w:tblStylePr w:type="band2Horz">
      <w:rPr>
        <w:color w:val="3664a9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4472C4" w:themeColor="accent1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</w:style>
  <w:style w:type="table" w:styleId="1039" w:customStyle="1">
    <w:name w:val="Grid Table 6 Colorful - Accent 2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</w:style>
  <w:style w:type="table" w:styleId="1040" w:customStyle="1">
    <w:name w:val="Grid Table 6 Colorful - Accent 3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06060" w:themeColor="accent3" w:themeTint="FE" w:themeShade="95"/>
        <w:sz w:val="22"/>
      </w:rPr>
      <w:tcPr>
        <w:shd w:val="clear" w:color="ffffff" w:fill="ececec" w:themeFill="accent3" w:themeFillTint="34"/>
      </w:tcPr>
    </w:tblStylePr>
    <w:tblStylePr w:type="band1Vert">
      <w:tcPr>
        <w:shd w:val="clear" w:color="ffffff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</w:style>
  <w:style w:type="table" w:styleId="1041" w:customStyle="1">
    <w:name w:val="Grid Table 6 Colorful - Accent 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d9600" w:themeColor="accent4" w:themeTint="9A" w:themeShade="95"/>
        <w:sz w:val="22"/>
      </w:rPr>
      <w:tcPr>
        <w:shd w:val="clear" w:color="ffffff" w:fill="fff2cb" w:themeFill="accent4" w:themeFillTint="34"/>
      </w:tcPr>
    </w:tblStylePr>
    <w:tblStylePr w:type="band1Vert">
      <w:tcPr>
        <w:shd w:val="clear" w:color="ffffff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</w:style>
  <w:style w:type="table" w:styleId="1042" w:customStyle="1">
    <w:name w:val="Grid Table 6 Colorful - Accent 5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45d8d" w:themeColor="accent5" w:themeShade="95"/>
        <w:sz w:val="22"/>
      </w:rPr>
      <w:tcPr>
        <w:shd w:val="clear" w:color="ffffff" w:fill="ddeaf6" w:themeFill="accent5" w:themeFillTint="34"/>
      </w:tcPr>
    </w:tblStylePr>
    <w:tblStylePr w:type="band1Vert">
      <w:tcPr>
        <w:shd w:val="clear" w:color="ffffff" w:fill="ddeaf6" w:themeFill="accent5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</w:style>
  <w:style w:type="table" w:styleId="1043" w:customStyle="1">
    <w:name w:val="Grid Table 6 Colorful - Accent 6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45d8d" w:themeColor="accent5" w:themeShade="95"/>
        <w:sz w:val="22"/>
      </w:rPr>
      <w:tcPr>
        <w:shd w:val="clear" w:color="ffffff" w:fill="e1efd8" w:themeFill="accent6" w:themeFillTint="34"/>
      </w:tcPr>
    </w:tblStylePr>
    <w:tblStylePr w:type="band1Vert">
      <w:tcPr>
        <w:shd w:val="clear" w:color="ffffff" w:fill="e1efd8" w:themeFill="accent6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</w:style>
  <w:style w:type="table" w:styleId="1044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5" w:customStyle="1">
    <w:name w:val="Grid Table 7 Colorful - Accent 1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664a9" w:themeColor="accent1" w:themeTint="80" w:themeShade="95"/>
        <w:sz w:val="22"/>
      </w:rPr>
      <w:tcPr>
        <w:shd w:val="clear" w:color="ffffff" w:fill="d8e2f3" w:themeFill="accent1" w:themeFillTint="34"/>
      </w:tcPr>
    </w:tblStylePr>
    <w:tblStylePr w:type="band1Vert">
      <w:tcPr>
        <w:shd w:val="clear" w:color="ffffff" w:fill="d8e2f3" w:themeFill="accent1" w:themeFillTint="34"/>
      </w:tcPr>
    </w:tblStylePr>
    <w:tblStylePr w:type="band2Horz">
      <w:rPr>
        <w:color w:val="3664a9" w:themeColor="accent1" w:themeTint="80" w:themeShade="95"/>
        <w:sz w:val="22"/>
      </w:rPr>
    </w:tblStylePr>
    <w:tblStylePr w:type="firstCol">
      <w:rPr>
        <w:i/>
        <w:color w:val="3664a9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b/>
        <w:color w:val="3664a9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i/>
        <w:color w:val="3664a9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3664a9" w:themeColor="accent1" w:themeTint="80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6" w:customStyle="1">
    <w:name w:val="Grid Table 7 Colorful - Accent 2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D7D31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ED7D31" w:themeColor="accent2" w:sz="4" w:space="0"/>
          <w:right w:val="none" w:color="000000" w:sz="0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ED7D31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7" w:customStyle="1">
    <w:name w:val="Grid Table 7 Colorful - Accent 3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06060" w:themeColor="accent3" w:themeTint="FE" w:themeShade="95"/>
        <w:sz w:val="22"/>
      </w:rPr>
      <w:tcPr>
        <w:shd w:val="clear" w:color="ffffff" w:fill="ececec" w:themeFill="accent3" w:themeFillTint="34"/>
      </w:tcPr>
    </w:tblStylePr>
    <w:tblStylePr w:type="band1Vert">
      <w:tcPr>
        <w:shd w:val="clear" w:color="ffffff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8" w:customStyle="1">
    <w:name w:val="Grid Table 7 Colorful - Accent 4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d9600" w:themeColor="accent4" w:themeTint="9A" w:themeShade="95"/>
        <w:sz w:val="22"/>
      </w:rPr>
      <w:tcPr>
        <w:shd w:val="clear" w:color="ffffff" w:fill="fff2cb" w:themeFill="accent4" w:themeFillTint="34"/>
      </w:tcPr>
    </w:tblStylePr>
    <w:tblStylePr w:type="band1Vert">
      <w:tcPr>
        <w:shd w:val="clear" w:color="ffffff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C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C000" w:themeColor="accent4" w:sz="4" w:space="0"/>
          <w:right w:val="none" w:color="000000" w:sz="0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C000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9" w:customStyle="1">
    <w:name w:val="Grid Table 7 Colorful - Accent 5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45d8d" w:themeColor="accent5" w:themeShade="95"/>
        <w:sz w:val="22"/>
      </w:rPr>
      <w:tcPr>
        <w:shd w:val="clear" w:color="ffffff" w:fill="ddeaf6" w:themeFill="accent5" w:themeFillTint="34"/>
      </w:tcPr>
    </w:tblStylePr>
    <w:tblStylePr w:type="band1Vert">
      <w:tcPr>
        <w:shd w:val="clear" w:color="ffffff" w:fill="ddeaf6" w:themeFill="accent5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i/>
        <w:color w:val="245d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5" w:sz="4" w:space="0"/>
        </w:tcBorders>
      </w:tcPr>
    </w:tblStylePr>
    <w:tblStylePr w:type="firstRow">
      <w:rPr>
        <w:b/>
        <w:color w:val="245d8d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5" w:sz="4" w:space="0"/>
          <w:right w:val="none" w:color="000000" w:sz="0" w:space="0"/>
        </w:tcBorders>
      </w:tcPr>
    </w:tblStylePr>
    <w:tblStylePr w:type="lastCol">
      <w:rPr>
        <w:i/>
        <w:color w:val="245d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45d8d" w:themeColor="accent5" w:themeShade="95"/>
        <w:sz w:val="22"/>
      </w:rPr>
      <w:tcPr>
        <w:shd w:val="clear" w:color="ffffff" w:fill="ffffff" w:themeFill="light1"/>
        <w:tcBorders>
          <w:top w:val="single" w:color="5B9BD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50" w:customStyle="1">
    <w:name w:val="Grid Table 7 Colorful - Accent 6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26429" w:themeColor="accent6" w:themeShade="95"/>
        <w:sz w:val="22"/>
      </w:rPr>
      <w:tcPr>
        <w:shd w:val="clear" w:color="ffffff" w:fill="e1efd8" w:themeFill="accent6" w:themeFillTint="34"/>
      </w:tcPr>
    </w:tblStylePr>
    <w:tblStylePr w:type="band1Vert">
      <w:tcPr>
        <w:shd w:val="clear" w:color="ffffff" w:fill="e1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0AD47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0AD47" w:themeColor="accent6" w:sz="4" w:space="0"/>
          <w:right w:val="none" w:color="000000" w:sz="0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70AD47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51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cfdbf0" w:themeFill="accent1" w:themeFillTint="40"/>
      </w:tcPr>
    </w:tblStylePr>
    <w:tblStylePr w:type="band1Vert">
      <w:tcPr>
        <w:shd w:val="clear" w:color="ffffff" w:fill="cfdbf0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5e5f4" w:themeFill="accent5" w:themeFillTint="40"/>
      </w:tcPr>
    </w:tblStylePr>
    <w:tblStylePr w:type="band1Vert">
      <w:tcPr>
        <w:shd w:val="clear" w:color="ffffff" w:fill="d5e5f4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aebcf" w:themeFill="accent6" w:themeFillTint="40"/>
      </w:tcPr>
    </w:tblStylePr>
    <w:tblStylePr w:type="band1Vert">
      <w:tcPr>
        <w:shd w:val="clear" w:color="ffffff" w:fill="daebcf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059" w:customStyle="1">
    <w:name w:val="List Table 2 - Accent 1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fdbf0" w:themeFill="accent1" w:themeFillTint="40"/>
      </w:tcPr>
    </w:tblStylePr>
    <w:tblStylePr w:type="band1Vert">
      <w:rPr>
        <w:sz w:val="22"/>
      </w:rPr>
      <w:tcPr>
        <w:shd w:val="clear" w:color="ffffff" w:fill="cfdbf0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</w:style>
  <w:style w:type="table" w:styleId="1060" w:customStyle="1">
    <w:name w:val="List Table 2 - Accent 2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adecb" w:themeFill="accent2" w:themeFillTint="40"/>
      </w:tc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</w:style>
  <w:style w:type="table" w:styleId="1061" w:customStyle="1">
    <w:name w:val="List Table 2 - Accent 3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8e8e8" w:themeFill="accent3" w:themeFillTint="40"/>
      </w:tc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</w:style>
  <w:style w:type="table" w:styleId="1062" w:customStyle="1">
    <w:name w:val="List Table 2 - Accent 4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efbf" w:themeFill="accent4" w:themeFillTint="40"/>
      </w:tcPr>
    </w:tblStylePr>
    <w:tblStylePr w:type="band1Vert">
      <w:rPr>
        <w:sz w:val="22"/>
      </w:rPr>
      <w:tcPr>
        <w:shd w:val="clear" w:color="fffff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</w:style>
  <w:style w:type="table" w:styleId="1063" w:customStyle="1">
    <w:name w:val="List Table 2 - Accent 5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5e5f4" w:themeFill="accent5" w:themeFillTint="40"/>
      </w:tcPr>
    </w:tblStylePr>
    <w:tblStylePr w:type="band1Vert">
      <w:rPr>
        <w:sz w:val="22"/>
      </w:rPr>
      <w:tcPr>
        <w:shd w:val="clear" w:color="ffffff" w:fill="d5e5f4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</w:style>
  <w:style w:type="table" w:styleId="1064" w:customStyle="1">
    <w:name w:val="List Table 2 - Accent 6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bcf" w:themeFill="accent6" w:themeFillTint="40"/>
      </w:tcPr>
    </w:tblStylePr>
    <w:tblStylePr w:type="band1Vert">
      <w:rPr>
        <w:sz w:val="22"/>
      </w:rPr>
      <w:tcPr>
        <w:shd w:val="clear" w:color="ffffff" w:fill="daebcf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</w:style>
  <w:style w:type="table" w:styleId="1065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66" w:customStyle="1">
    <w:name w:val="List Table 3 - Accent 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67" w:customStyle="1">
    <w:name w:val="List Table 3 - Accent 2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68" w:customStyle="1">
    <w:name w:val="List Table 3 - Accent 3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69" w:customStyle="1">
    <w:name w:val="List Table 3 - Accent 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5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70" w:customStyle="1">
    <w:name w:val="List Table 3 - Accent 5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5B9BD5" w:themeColor="accent5" w:sz="4" w:space="0"/>
          <w:bottom w:val="single" w:color="5B9BD5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5B9BD5" w:themeColor="accent5" w:sz="4" w:space="0"/>
          <w:right w:val="single" w:color="5B9BD5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c2e5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71" w:customStyle="1">
    <w:name w:val="List Table 3 - Accent 6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9d08e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72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73" w:customStyle="1">
    <w:name w:val="List Table 4 - Accent 1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fdbf0" w:themeFill="accent1" w:themeFillTint="40"/>
      </w:tcPr>
    </w:tblStylePr>
    <w:tblStylePr w:type="band1Vert">
      <w:rPr>
        <w:sz w:val="22"/>
      </w:rPr>
      <w:tcPr>
        <w:shd w:val="clear" w:color="ffffff" w:fill="cfdbf0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74" w:customStyle="1">
    <w:name w:val="List Table 4 - Accent 2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adecb" w:themeFill="accent2" w:themeFillTint="40"/>
      </w:tc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75" w:customStyle="1">
    <w:name w:val="List Table 4 - Accent 3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8e8e8" w:themeFill="accent3" w:themeFillTint="40"/>
      </w:tc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76" w:customStyle="1">
    <w:name w:val="List Table 4 - Accent 4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efbf" w:themeFill="accent4" w:themeFillTint="40"/>
      </w:tcPr>
    </w:tblStylePr>
    <w:tblStylePr w:type="band1Vert">
      <w:rPr>
        <w:sz w:val="22"/>
      </w:rPr>
      <w:tcPr>
        <w:shd w:val="clear" w:color="fffff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77" w:customStyle="1">
    <w:name w:val="List Table 4 - Accent 5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5e5f4" w:themeFill="accent5" w:themeFillTint="40"/>
      </w:tcPr>
    </w:tblStylePr>
    <w:tblStylePr w:type="band1Vert">
      <w:rPr>
        <w:sz w:val="22"/>
      </w:rPr>
      <w:tcPr>
        <w:shd w:val="clear" w:color="ffffff" w:fill="d5e5f4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78" w:customStyle="1">
    <w:name w:val="List Table 4 - Accent 6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bcf" w:themeFill="accent6" w:themeFillTint="40"/>
      </w:tcPr>
    </w:tblStylePr>
    <w:tblStylePr w:type="band1Vert">
      <w:rPr>
        <w:sz w:val="22"/>
      </w:rPr>
      <w:tcPr>
        <w:shd w:val="clear" w:color="ffffff" w:fill="daebcf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79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80" w:customStyle="1">
    <w:name w:val="List Table 5 Dark - Accent 1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81" w:customStyle="1">
    <w:name w:val="List Table 5 Dark - Accent 2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4b184" w:themeFill="accent2" w:themeFillTint="97"/>
        <w:tcBorders>
          <w:top w:val="single" w:color="ED7D31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82" w:customStyle="1">
    <w:name w:val="List Table 5 Dark - Accent 3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9c9c9" w:themeFill="accent3" w:themeFillTint="98"/>
        <w:tcBorders>
          <w:top w:val="single" w:color="A5A5A5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83" w:customStyle="1">
    <w:name w:val="List Table 5 Dark - Accent 4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d865" w:themeFill="accent4" w:themeFillTint="9A"/>
        <w:tcBorders>
          <w:top w:val="single" w:color="FFC000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84" w:customStyle="1">
    <w:name w:val="List Table 5 Dark - Accent 5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bc2e5" w:themeFill="accent5" w:themeFillTint="9A"/>
        <w:tcBorders>
          <w:top w:val="single" w:color="5B9BD5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85" w:customStyle="1">
    <w:name w:val="List Table 5 Dark - Accent 6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a9d08e" w:themeFill="accent6" w:themeFillTint="98"/>
        <w:tcBorders>
          <w:top w:val="single" w:color="70AD47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86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1087" w:customStyle="1">
    <w:name w:val="List Table 6 Colorful - Accent 1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54374" w:themeColor="accent1" w:themeShade="95"/>
        <w:sz w:val="22"/>
      </w:rPr>
      <w:tcPr>
        <w:shd w:val="clear" w:color="ffffff" w:fill="cfdbf0" w:themeFill="accent1" w:themeFillTint="40"/>
      </w:tcPr>
    </w:tblStylePr>
    <w:tblStylePr w:type="band1Vert">
      <w:tcPr>
        <w:shd w:val="clear" w:color="ffffff" w:fill="cfdbf0" w:themeFill="accent1" w:themeFillTint="40"/>
      </w:tcPr>
    </w:tblStylePr>
    <w:tblStylePr w:type="band2Horz">
      <w:rPr>
        <w:color w:val="254374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1088" w:customStyle="1">
    <w:name w:val="List Table 6 Colorful - Accent 2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ED7D31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ED7D31" w:themeColor="accent2" w:sz="4" w:space="0"/>
        </w:tcBorders>
      </w:tcPr>
    </w:tblStylePr>
  </w:style>
  <w:style w:type="table" w:styleId="1089" w:customStyle="1">
    <w:name w:val="List Table 6 Colorful - Accent 3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A5A5A5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A5A5A5" w:themeColor="accent3" w:sz="4" w:space="0"/>
        </w:tcBorders>
      </w:tcPr>
    </w:tblStylePr>
  </w:style>
  <w:style w:type="table" w:styleId="1090" w:customStyle="1">
    <w:name w:val="List Table 6 Colorful - Accent 4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FFC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FFC000" w:themeColor="accent4" w:sz="4" w:space="0"/>
        </w:tcBorders>
      </w:tcPr>
    </w:tblStylePr>
  </w:style>
  <w:style w:type="table" w:styleId="1091" w:customStyle="1">
    <w:name w:val="List Table 6 Colorful - Accent 5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e78b1" w:themeColor="accent5" w:themeTint="9A" w:themeShade="95"/>
        <w:sz w:val="22"/>
      </w:rPr>
      <w:tcPr>
        <w:shd w:val="clear" w:color="ffffff" w:fill="d5e5f4" w:themeFill="accent5" w:themeFillTint="40"/>
      </w:tcPr>
    </w:tblStylePr>
    <w:tblStylePr w:type="band1Vert">
      <w:tcPr>
        <w:shd w:val="clear" w:color="ffffff" w:fill="d5e5f4" w:themeFill="accent5" w:themeFillTint="40"/>
      </w:tcPr>
    </w:tblStylePr>
    <w:tblStylePr w:type="band2Horz">
      <w:rPr>
        <w:color w:val="2e78b1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5B9BD5" w:themeColor="accent5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5B9BD5" w:themeColor="accent5" w:sz="4" w:space="0"/>
        </w:tcBorders>
      </w:tcPr>
    </w:tblStylePr>
  </w:style>
  <w:style w:type="table" w:styleId="1092" w:customStyle="1">
    <w:name w:val="List Table 6 Colorful - Accent 6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5f8f3c" w:themeColor="accent6" w:themeTint="98" w:themeShade="95"/>
        <w:sz w:val="22"/>
      </w:rPr>
      <w:tcPr>
        <w:shd w:val="clear" w:color="ffffff" w:fill="daebcf" w:themeFill="accent6" w:themeFillTint="40"/>
      </w:tcPr>
    </w:tblStylePr>
    <w:tblStylePr w:type="band1Vert">
      <w:tcPr>
        <w:shd w:val="clear" w:color="fffff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70AD47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70AD47" w:themeColor="accent6" w:sz="4" w:space="0"/>
        </w:tcBorders>
      </w:tcPr>
    </w:tblStylePr>
  </w:style>
  <w:style w:type="table" w:styleId="1093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94" w:customStyle="1">
    <w:name w:val="List Table 7 Colorful - Accent 1"/>
    <w:uiPriority w:val="99"/>
    <w:tblPr>
      <w:tblStyleRowBandSize w:val="1"/>
      <w:tblStyleColBandSize w:val="1"/>
      <w:tblBorders>
        <w:right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54374" w:themeColor="accent1" w:themeShade="95"/>
        <w:sz w:val="22"/>
      </w:rPr>
      <w:tcPr>
        <w:shd w:val="clear" w:color="ffffff" w:fill="cfdbf0" w:themeFill="accent1" w:themeFillTint="40"/>
      </w:tcPr>
    </w:tblStylePr>
    <w:tblStylePr w:type="band1Vert">
      <w:tcPr>
        <w:shd w:val="clear" w:color="ffffff" w:fill="cfdbf0" w:themeFill="accent1" w:themeFillTint="40"/>
      </w:tcPr>
    </w:tblStylePr>
    <w:tblStylePr w:type="band2Horz">
      <w:rPr>
        <w:color w:val="254374" w:themeColor="accent1" w:themeShade="95"/>
        <w:sz w:val="22"/>
      </w:rPr>
    </w:tblStylePr>
    <w:tblStylePr w:type="firstCol">
      <w:rPr>
        <w:i/>
        <w:color w:val="254374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i/>
        <w:color w:val="254374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i/>
        <w:color w:val="254374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54374" w:themeColor="accent1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95" w:customStyle="1">
    <w:name w:val="List Table 7 Colorful - Accent 2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D7D31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ED7D31" w:themeColor="accent2" w:sz="4" w:space="0"/>
          <w:right w:val="none" w:color="000000" w:sz="0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ED7D31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96" w:customStyle="1">
    <w:name w:val="List Table 7 Colorful - Accent 3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97" w:customStyle="1">
    <w:name w:val="List Table 7 Colorful - Accent 4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C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C000" w:themeColor="accent4" w:sz="4" w:space="0"/>
          <w:right w:val="none" w:color="000000" w:sz="0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C000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98" w:customStyle="1">
    <w:name w:val="List Table 7 Colorful - Accent 5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e78b1" w:themeColor="accent5" w:themeTint="9A" w:themeShade="95"/>
        <w:sz w:val="22"/>
      </w:rPr>
      <w:tcPr>
        <w:shd w:val="clear" w:color="ffffff" w:fill="d5e5f4" w:themeFill="accent5" w:themeFillTint="40"/>
      </w:tcPr>
    </w:tblStylePr>
    <w:tblStylePr w:type="band1Vert">
      <w:tcPr>
        <w:shd w:val="clear" w:color="ffffff" w:fill="d5e5f4" w:themeFill="accent5" w:themeFillTint="40"/>
      </w:tcPr>
    </w:tblStylePr>
    <w:tblStylePr w:type="band2Horz">
      <w:rPr>
        <w:color w:val="2e78b1" w:themeColor="accent5" w:themeTint="9A" w:themeShade="95"/>
        <w:sz w:val="22"/>
      </w:rPr>
    </w:tblStylePr>
    <w:tblStylePr w:type="firstCol">
      <w:rPr>
        <w:i/>
        <w:color w:val="2e78b1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5" w:sz="4" w:space="0"/>
        </w:tcBorders>
      </w:tcPr>
    </w:tblStylePr>
    <w:tblStylePr w:type="firstRow">
      <w:rPr>
        <w:i/>
        <w:color w:val="2e78b1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5" w:sz="4" w:space="0"/>
          <w:right w:val="none" w:color="000000" w:sz="0" w:space="0"/>
        </w:tcBorders>
      </w:tcPr>
    </w:tblStylePr>
    <w:tblStylePr w:type="lastCol">
      <w:rPr>
        <w:i/>
        <w:color w:val="2e78b1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e78b1" w:themeColor="accent5" w:themeTint="9A" w:themeShade="95"/>
        <w:sz w:val="22"/>
      </w:rPr>
      <w:tcPr>
        <w:shd w:val="clear" w:color="ffffff" w:fill="ffffff" w:themeFill="light1"/>
        <w:tcBorders>
          <w:top w:val="single" w:color="5B9BD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99" w:customStyle="1">
    <w:name w:val="List Table 7 Colorful - Accent 6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5f8f3c" w:themeColor="accent6" w:themeTint="98" w:themeShade="95"/>
        <w:sz w:val="22"/>
      </w:rPr>
      <w:tcPr>
        <w:shd w:val="clear" w:color="ffffff" w:fill="daebcf" w:themeFill="accent6" w:themeFillTint="40"/>
      </w:tcPr>
    </w:tblStylePr>
    <w:tblStylePr w:type="band1Vert">
      <w:tcPr>
        <w:shd w:val="clear" w:color="fffff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0AD47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0AD47" w:themeColor="accent6" w:sz="4" w:space="0"/>
          <w:right w:val="none" w:color="000000" w:sz="0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70AD47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00" w:customStyle="1">
    <w:name w:val="Lined - Accen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1101" w:customStyle="1">
    <w:name w:val="Lined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4d2ec" w:themeFill="accent1" w:themeFillTint="50"/>
      </w:tcPr>
    </w:tblStylePr>
    <w:tblStylePr w:type="band2Vert">
      <w:rPr>
        <w:sz w:val="22"/>
      </w:rPr>
      <w:tcPr>
        <w:shd w:val="clear" w:color="ffffff" w:fill="c4d2ec" w:themeFill="accent1" w:themeFillTint="50"/>
      </w:tcPr>
    </w:tblStylePr>
    <w:tblStylePr w:type="firstCol">
      <w:rPr>
        <w:sz w:val="22"/>
      </w:rPr>
      <w:tcPr>
        <w:shd w:val="clear" w:color="ffffff" w:fill="537dc8" w:themeFill="accent1" w:themeFillTint="EA"/>
      </w:tcPr>
    </w:tblStylePr>
    <w:tblStylePr w:type="firstRow">
      <w:rPr>
        <w:sz w:val="22"/>
      </w:rPr>
      <w:tcPr>
        <w:shd w:val="clear" w:color="ffffff" w:fill="537dc8" w:themeFill="accent1" w:themeFillTint="EA"/>
      </w:tcPr>
    </w:tblStylePr>
    <w:tblStylePr w:type="lastCol">
      <w:rPr>
        <w:sz w:val="22"/>
      </w:rPr>
      <w:tcPr>
        <w:shd w:val="clear" w:color="ffffff" w:fill="537dc8" w:themeFill="accent1" w:themeFillTint="EA"/>
      </w:tcPr>
    </w:tblStylePr>
    <w:tblStylePr w:type="lastRow">
      <w:rPr>
        <w:sz w:val="22"/>
      </w:rPr>
      <w:tcPr>
        <w:shd w:val="clear" w:color="ffffff" w:fill="537dc8" w:themeFill="accent1" w:themeFillTint="EA"/>
      </w:tcPr>
    </w:tblStylePr>
  </w:style>
  <w:style w:type="table" w:styleId="1102" w:customStyle="1">
    <w:name w:val="Lined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sz w:val="22"/>
      </w:rPr>
      <w:tcPr>
        <w:shd w:val="clear" w:color="ffffff" w:fill="f4b184" w:themeFill="accent2" w:themeFillTint="97"/>
      </w:tcPr>
    </w:tblStylePr>
    <w:tblStylePr w:type="firstRow">
      <w:rPr>
        <w:sz w:val="22"/>
      </w:rPr>
      <w:tcPr>
        <w:shd w:val="clear" w:color="ffffff" w:fill="f4b184" w:themeFill="accent2" w:themeFillTint="97"/>
      </w:tcPr>
    </w:tblStylePr>
    <w:tblStylePr w:type="lastCol">
      <w:rPr>
        <w:sz w:val="22"/>
      </w:rPr>
      <w:tcPr>
        <w:shd w:val="clear" w:color="ffffff" w:fill="f4b184" w:themeFill="accent2" w:themeFillTint="97"/>
      </w:tcPr>
    </w:tblStylePr>
    <w:tblStylePr w:type="lastRow">
      <w:rPr>
        <w:sz w:val="22"/>
      </w:rPr>
      <w:tcPr>
        <w:shd w:val="clear" w:color="ffffff" w:fill="f4b184" w:themeFill="accent2" w:themeFillTint="97"/>
      </w:tcPr>
    </w:tblStylePr>
  </w:style>
  <w:style w:type="table" w:styleId="1103" w:customStyle="1">
    <w:name w:val="Lined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cecec" w:themeFill="accent3" w:themeFillTint="34"/>
      </w:tcPr>
    </w:tblStylePr>
    <w:tblStylePr w:type="band2Vert">
      <w:rPr>
        <w:sz w:val="22"/>
      </w:rPr>
      <w:tcPr>
        <w:shd w:val="clear" w:color="ffffff" w:fill="ececec" w:themeFill="accent3" w:themeFillTint="34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</w:style>
  <w:style w:type="table" w:styleId="1104" w:customStyle="1">
    <w:name w:val="Lined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ff2cb" w:themeFill="accent4" w:themeFillTint="34"/>
      </w:tcPr>
    </w:tblStylePr>
    <w:tblStylePr w:type="band2Vert">
      <w:rPr>
        <w:sz w:val="22"/>
      </w:rPr>
      <w:tcPr>
        <w:shd w:val="clear" w:color="ffffff" w:fill="fff2cb" w:themeFill="accent4" w:themeFillTint="34"/>
      </w:tcPr>
    </w:tblStylePr>
    <w:tblStylePr w:type="firstCol">
      <w:rPr>
        <w:sz w:val="22"/>
      </w:rPr>
      <w:tcPr>
        <w:shd w:val="clear" w:color="ffffff" w:fill="ffd865" w:themeFill="accent4" w:themeFillTint="9A"/>
      </w:tcPr>
    </w:tblStylePr>
    <w:tblStylePr w:type="firstRow">
      <w:rPr>
        <w:sz w:val="22"/>
      </w:rPr>
      <w:tcPr>
        <w:shd w:val="clear" w:color="ffffff" w:fill="ffd865" w:themeFill="accent4" w:themeFillTint="9A"/>
      </w:tcPr>
    </w:tblStylePr>
    <w:tblStylePr w:type="lastCol">
      <w:rPr>
        <w:sz w:val="22"/>
      </w:rPr>
      <w:tcPr>
        <w:shd w:val="clear" w:color="ffffff" w:fill="ffd865" w:themeFill="accent4" w:themeFillTint="9A"/>
      </w:tcPr>
    </w:tblStylePr>
    <w:tblStylePr w:type="lastRow">
      <w:rPr>
        <w:sz w:val="22"/>
      </w:rPr>
      <w:tcPr>
        <w:shd w:val="clear" w:color="ffffff" w:fill="ffd865" w:themeFill="accent4" w:themeFillTint="9A"/>
      </w:tcPr>
    </w:tblStylePr>
  </w:style>
  <w:style w:type="table" w:styleId="1105" w:customStyle="1">
    <w:name w:val="Lined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deaf6" w:themeFill="accent5" w:themeFillTint="34"/>
      </w:tcPr>
    </w:tblStylePr>
    <w:tblStylePr w:type="band2Vert">
      <w:rPr>
        <w:sz w:val="22"/>
      </w:rPr>
      <w:tcPr>
        <w:shd w:val="clear" w:color="ffffff" w:fill="ddeaf6" w:themeFill="accent5" w:themeFillTint="34"/>
      </w:tcPr>
    </w:tblStylePr>
    <w:tblStylePr w:type="firstCol">
      <w:rPr>
        <w:sz w:val="22"/>
      </w:rPr>
      <w:tcPr>
        <w:shd w:val="clear" w:color="ffffff" w:fill="5b9bd5" w:themeFill="accent5"/>
      </w:tcPr>
    </w:tblStylePr>
    <w:tblStylePr w:type="firstRow">
      <w:rPr>
        <w:sz w:val="22"/>
      </w:rPr>
      <w:tcPr>
        <w:shd w:val="clear" w:color="ffffff" w:fill="5b9bd5" w:themeFill="accent5"/>
      </w:tcPr>
    </w:tblStylePr>
    <w:tblStylePr w:type="lastCol">
      <w:rPr>
        <w:sz w:val="22"/>
      </w:rPr>
      <w:tcPr>
        <w:shd w:val="clear" w:color="ffffff" w:fill="5b9bd5" w:themeFill="accent5"/>
      </w:tcPr>
    </w:tblStylePr>
    <w:tblStylePr w:type="lastRow">
      <w:rPr>
        <w:sz w:val="22"/>
      </w:rPr>
      <w:tcPr>
        <w:shd w:val="clear" w:color="ffffff" w:fill="5b9bd5" w:themeFill="accent5"/>
      </w:tcPr>
    </w:tblStylePr>
  </w:style>
  <w:style w:type="table" w:styleId="1106" w:customStyle="1">
    <w:name w:val="Lined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1efd8" w:themeFill="accent6" w:themeFillTint="34"/>
      </w:tcPr>
    </w:tblStylePr>
    <w:tblStylePr w:type="band2Vert">
      <w:rPr>
        <w:sz w:val="22"/>
      </w:rPr>
      <w:tcPr>
        <w:shd w:val="clear" w:color="ffffff" w:fill="e1efd8" w:themeFill="accent6" w:themeFillTint="34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firstRow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</w:style>
  <w:style w:type="table" w:styleId="1107" w:customStyle="1">
    <w:name w:val="Bordered &amp; Lined - Accent"/>
    <w:uiPriority w:val="99"/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1108" w:customStyle="1">
    <w:name w:val="Bordered &amp; Lined - Accent 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  <w:insideH w:val="single" w:color="4472C4" w:themeColor="accent1" w:sz="4" w:space="0"/>
        <w:insideV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4d2ec" w:themeFill="accent1" w:themeFillTint="50"/>
      </w:tcPr>
    </w:tblStylePr>
    <w:tblStylePr w:type="band2Vert">
      <w:rPr>
        <w:sz w:val="22"/>
      </w:rPr>
      <w:tcPr>
        <w:shd w:val="clear" w:color="ffffff" w:fill="c4d2ec" w:themeFill="accent1" w:themeFillTint="50"/>
      </w:tcPr>
    </w:tblStylePr>
    <w:tblStylePr w:type="firstCol">
      <w:rPr>
        <w:sz w:val="22"/>
      </w:rPr>
      <w:tcPr>
        <w:shd w:val="clear" w:color="ffffff" w:fill="537dc8" w:themeFill="accent1" w:themeFillTint="EA"/>
      </w:tcPr>
    </w:tblStylePr>
    <w:tblStylePr w:type="firstRow">
      <w:rPr>
        <w:sz w:val="22"/>
      </w:rPr>
      <w:tcPr>
        <w:shd w:val="clear" w:color="ffffff" w:fill="537dc8" w:themeFill="accent1" w:themeFillTint="EA"/>
      </w:tcPr>
    </w:tblStylePr>
    <w:tblStylePr w:type="lastCol">
      <w:rPr>
        <w:sz w:val="22"/>
      </w:rPr>
      <w:tcPr>
        <w:shd w:val="clear" w:color="ffffff" w:fill="537dc8" w:themeFill="accent1" w:themeFillTint="EA"/>
      </w:tcPr>
    </w:tblStylePr>
    <w:tblStylePr w:type="lastRow">
      <w:rPr>
        <w:sz w:val="22"/>
      </w:rPr>
      <w:tcPr>
        <w:shd w:val="clear" w:color="ffffff" w:fill="537dc8" w:themeFill="accent1" w:themeFillTint="EA"/>
      </w:tcPr>
    </w:tblStylePr>
  </w:style>
  <w:style w:type="table" w:styleId="1109" w:customStyle="1">
    <w:name w:val="Bordered &amp; Lined - Accent 2"/>
    <w:uiPriority w:val="99"/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sz w:val="22"/>
      </w:rPr>
      <w:tcPr>
        <w:shd w:val="clear" w:color="ffffff" w:fill="f4b184" w:themeFill="accent2" w:themeFillTint="97"/>
      </w:tcPr>
    </w:tblStylePr>
    <w:tblStylePr w:type="firstRow">
      <w:rPr>
        <w:sz w:val="22"/>
      </w:rPr>
      <w:tcPr>
        <w:shd w:val="clear" w:color="ffffff" w:fill="f4b184" w:themeFill="accent2" w:themeFillTint="97"/>
      </w:tcPr>
    </w:tblStylePr>
    <w:tblStylePr w:type="lastCol">
      <w:rPr>
        <w:sz w:val="22"/>
      </w:rPr>
      <w:tcPr>
        <w:shd w:val="clear" w:color="ffffff" w:fill="f4b184" w:themeFill="accent2" w:themeFillTint="97"/>
      </w:tcPr>
    </w:tblStylePr>
    <w:tblStylePr w:type="lastRow">
      <w:rPr>
        <w:sz w:val="22"/>
      </w:rPr>
      <w:tcPr>
        <w:shd w:val="clear" w:color="ffffff" w:fill="f4b184" w:themeFill="accent2" w:themeFillTint="97"/>
      </w:tcPr>
    </w:tblStylePr>
  </w:style>
  <w:style w:type="table" w:styleId="1110" w:customStyle="1">
    <w:name w:val="Bordered &amp; Lined - Accent 3"/>
    <w:uiPriority w:val="99"/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cecec" w:themeFill="accent3" w:themeFillTint="34"/>
      </w:tcPr>
    </w:tblStylePr>
    <w:tblStylePr w:type="band2Vert">
      <w:rPr>
        <w:sz w:val="22"/>
      </w:rPr>
      <w:tcPr>
        <w:shd w:val="clear" w:color="ffffff" w:fill="ececec" w:themeFill="accent3" w:themeFillTint="34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</w:style>
  <w:style w:type="table" w:styleId="1111" w:customStyle="1">
    <w:name w:val="Bordered &amp; Lined - Accent 4"/>
    <w:uiPriority w:val="99"/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ff2cb" w:themeFill="accent4" w:themeFillTint="34"/>
      </w:tcPr>
    </w:tblStylePr>
    <w:tblStylePr w:type="band2Vert">
      <w:rPr>
        <w:sz w:val="22"/>
      </w:rPr>
      <w:tcPr>
        <w:shd w:val="clear" w:color="ffffff" w:fill="fff2cb" w:themeFill="accent4" w:themeFillTint="34"/>
      </w:tcPr>
    </w:tblStylePr>
    <w:tblStylePr w:type="firstCol">
      <w:rPr>
        <w:sz w:val="22"/>
      </w:rPr>
      <w:tcPr>
        <w:shd w:val="clear" w:color="ffffff" w:fill="ffd865" w:themeFill="accent4" w:themeFillTint="9A"/>
      </w:tcPr>
    </w:tblStylePr>
    <w:tblStylePr w:type="firstRow">
      <w:rPr>
        <w:sz w:val="22"/>
      </w:rPr>
      <w:tcPr>
        <w:shd w:val="clear" w:color="ffffff" w:fill="ffd865" w:themeFill="accent4" w:themeFillTint="9A"/>
      </w:tcPr>
    </w:tblStylePr>
    <w:tblStylePr w:type="lastCol">
      <w:rPr>
        <w:sz w:val="22"/>
      </w:rPr>
      <w:tcPr>
        <w:shd w:val="clear" w:color="ffffff" w:fill="ffd865" w:themeFill="accent4" w:themeFillTint="9A"/>
      </w:tcPr>
    </w:tblStylePr>
    <w:tblStylePr w:type="lastRow">
      <w:rPr>
        <w:sz w:val="22"/>
      </w:rPr>
      <w:tcPr>
        <w:shd w:val="clear" w:color="ffffff" w:fill="ffd865" w:themeFill="accent4" w:themeFillTint="9A"/>
      </w:tcPr>
    </w:tblStylePr>
  </w:style>
  <w:style w:type="table" w:styleId="1112" w:customStyle="1">
    <w:name w:val="Bordered &amp; Lined - Accent 5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deaf6" w:themeFill="accent5" w:themeFillTint="34"/>
      </w:tcPr>
    </w:tblStylePr>
    <w:tblStylePr w:type="band2Vert">
      <w:rPr>
        <w:sz w:val="22"/>
      </w:rPr>
      <w:tcPr>
        <w:shd w:val="clear" w:color="ffffff" w:fill="ddeaf6" w:themeFill="accent5" w:themeFillTint="34"/>
      </w:tcPr>
    </w:tblStylePr>
    <w:tblStylePr w:type="firstCol">
      <w:rPr>
        <w:sz w:val="22"/>
      </w:rPr>
      <w:tcPr>
        <w:shd w:val="clear" w:color="ffffff" w:fill="5b9bd5" w:themeFill="accent5"/>
      </w:tcPr>
    </w:tblStylePr>
    <w:tblStylePr w:type="firstRow">
      <w:rPr>
        <w:sz w:val="22"/>
      </w:rPr>
      <w:tcPr>
        <w:shd w:val="clear" w:color="ffffff" w:fill="5b9bd5" w:themeFill="accent5"/>
      </w:tcPr>
    </w:tblStylePr>
    <w:tblStylePr w:type="lastCol">
      <w:rPr>
        <w:sz w:val="22"/>
      </w:rPr>
      <w:tcPr>
        <w:shd w:val="clear" w:color="ffffff" w:fill="5b9bd5" w:themeFill="accent5"/>
      </w:tcPr>
    </w:tblStylePr>
    <w:tblStylePr w:type="lastRow">
      <w:rPr>
        <w:sz w:val="22"/>
      </w:rPr>
      <w:tcPr>
        <w:shd w:val="clear" w:color="ffffff" w:fill="5b9bd5" w:themeFill="accent5"/>
      </w:tcPr>
    </w:tblStylePr>
  </w:style>
  <w:style w:type="table" w:styleId="1113" w:customStyle="1">
    <w:name w:val="Bordered &amp; Lined - Accent 6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1efd8" w:themeFill="accent6" w:themeFillTint="34"/>
      </w:tcPr>
    </w:tblStylePr>
    <w:tblStylePr w:type="band2Vert">
      <w:rPr>
        <w:sz w:val="22"/>
      </w:rPr>
      <w:tcPr>
        <w:shd w:val="clear" w:color="ffffff" w:fill="e1efd8" w:themeFill="accent6" w:themeFillTint="34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firstRow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</w:style>
  <w:style w:type="table" w:styleId="1114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1115" w:customStyle="1">
    <w:name w:val="Bordered - Accent 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116" w:customStyle="1">
    <w:name w:val="Bordered - Accent 2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ED7D31" w:themeColor="accent2" w:sz="12" w:space="0"/>
        </w:tcBorders>
      </w:tcPr>
    </w:tblStylePr>
    <w:tblStylePr w:type="lastCol">
      <w:rPr>
        <w:sz w:val="22"/>
      </w:rPr>
      <w:tcPr>
        <w:tcBorders>
          <w:left w:val="single" w:color="ED7D31" w:themeColor="accent2" w:sz="12" w:space="0"/>
        </w:tcBorders>
      </w:tcPr>
    </w:tblStylePr>
    <w:tblStylePr w:type="lastRow">
      <w:rPr>
        <w:sz w:val="22"/>
      </w:rPr>
      <w:tcPr>
        <w:tcBorders>
          <w:top w:val="single" w:color="ED7D31" w:themeColor="accent2" w:sz="12" w:space="0"/>
        </w:tcBorders>
      </w:tcPr>
    </w:tblStylePr>
  </w:style>
  <w:style w:type="table" w:styleId="1117" w:customStyle="1">
    <w:name w:val="Bordered - Accent 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A5A5A5" w:themeColor="accent3" w:sz="12" w:space="0"/>
        </w:tcBorders>
      </w:tcPr>
    </w:tblStylePr>
    <w:tblStylePr w:type="lastCol">
      <w:rPr>
        <w:sz w:val="22"/>
      </w:rPr>
      <w:tcPr>
        <w:tcBorders>
          <w:left w:val="single" w:color="A5A5A5" w:themeColor="accent3" w:sz="12" w:space="0"/>
        </w:tcBorders>
      </w:tcPr>
    </w:tblStylePr>
    <w:tblStylePr w:type="lastRow">
      <w:rPr>
        <w:sz w:val="22"/>
      </w:rPr>
      <w:tcPr>
        <w:tcBorders>
          <w:top w:val="single" w:color="A5A5A5" w:themeColor="accent3" w:sz="12" w:space="0"/>
        </w:tcBorders>
      </w:tcPr>
    </w:tblStylePr>
  </w:style>
  <w:style w:type="table" w:styleId="1118" w:customStyle="1">
    <w:name w:val="Bordered - Accent 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FC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FFC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FFC000" w:themeColor="accent4" w:sz="12" w:space="0"/>
        </w:tcBorders>
      </w:tcPr>
    </w:tblStylePr>
  </w:style>
  <w:style w:type="table" w:styleId="1119" w:customStyle="1">
    <w:name w:val="Bordered - Accent 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5B9BD5" w:themeColor="accent5" w:sz="12" w:space="0"/>
        </w:tcBorders>
      </w:tcPr>
    </w:tblStylePr>
    <w:tblStylePr w:type="lastCol">
      <w:rPr>
        <w:sz w:val="22"/>
      </w:rPr>
      <w:tcPr>
        <w:tcBorders>
          <w:left w:val="single" w:color="5B9BD5" w:themeColor="accent5" w:sz="12" w:space="0"/>
        </w:tcBorders>
      </w:tcPr>
    </w:tblStylePr>
    <w:tblStylePr w:type="lastRow">
      <w:rPr>
        <w:sz w:val="22"/>
      </w:rPr>
      <w:tcPr>
        <w:tcBorders>
          <w:top w:val="single" w:color="5B9BD5" w:themeColor="accent5" w:sz="12" w:space="0"/>
        </w:tcBorders>
      </w:tcPr>
    </w:tblStylePr>
  </w:style>
  <w:style w:type="table" w:styleId="1120" w:customStyle="1">
    <w:name w:val="Bordered - Accent 6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70AD47" w:themeColor="accent6" w:sz="12" w:space="0"/>
        </w:tcBorders>
      </w:tcPr>
    </w:tblStylePr>
    <w:tblStylePr w:type="lastCol">
      <w:rPr>
        <w:sz w:val="22"/>
      </w:rPr>
      <w:tcPr>
        <w:tcBorders>
          <w:left w:val="single" w:color="70AD47" w:themeColor="accent6" w:sz="12" w:space="0"/>
        </w:tcBorders>
      </w:tcPr>
    </w:tblStylePr>
    <w:tblStylePr w:type="lastRow">
      <w:rPr>
        <w:sz w:val="22"/>
      </w:rPr>
      <w:tcPr>
        <w:tcBorders>
          <w:top w:val="single" w:color="70AD47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footer" Target="footer3.xml" /><Relationship Id="rId18" Type="http://schemas.openxmlformats.org/officeDocument/2006/relationships/footer" Target="footer4.xml" /><Relationship Id="rId19" Type="http://schemas.openxmlformats.org/officeDocument/2006/relationships/footer" Target="footer5.xml" /><Relationship Id="rId2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6EE62-C424-4E7F-8EB9-591ED65A1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korneva_oa</cp:lastModifiedBy>
  <cp:revision>11</cp:revision>
  <dcterms:created xsi:type="dcterms:W3CDTF">2025-06-23T07:12:00Z</dcterms:created>
  <dcterms:modified xsi:type="dcterms:W3CDTF">2025-07-30T23:50:41Z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